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1F445" w14:textId="377EAD15" w:rsidR="00953643" w:rsidRPr="00B14BE5" w:rsidRDefault="00AD6E80" w:rsidP="00AD6E80">
      <w:pPr>
        <w:ind w:left="10800" w:firstLine="720"/>
        <w:rPr>
          <w:rFonts w:asciiTheme="minorHAnsi" w:hAnsiTheme="minorHAnsi" w:cstheme="minorHAnsi"/>
          <w:sz w:val="20"/>
          <w:szCs w:val="20"/>
        </w:rPr>
      </w:pPr>
      <w:r w:rsidRPr="0066190C">
        <w:rPr>
          <w:rFonts w:asciiTheme="minorHAnsi" w:hAnsiTheme="minorHAnsi" w:cstheme="minorHAnsi"/>
          <w:b/>
          <w:noProof/>
          <w:sz w:val="22"/>
          <w:szCs w:val="22"/>
          <w:lang w:eastAsia="en-GB"/>
        </w:rPr>
        <w:drawing>
          <wp:inline distT="0" distB="0" distL="0" distR="0" wp14:anchorId="11C2DC11" wp14:editId="2004FE94">
            <wp:extent cx="1722495" cy="719100"/>
            <wp:effectExtent l="0" t="0" r="0" b="5080"/>
            <wp:docPr id="7" name="Picture 1" descr="image003">
              <a:extLst xmlns:a="http://schemas.openxmlformats.org/drawingml/2006/main">
                <a:ext uri="{FF2B5EF4-FFF2-40B4-BE49-F238E27FC236}">
                  <a16:creationId xmlns:a16="http://schemas.microsoft.com/office/drawing/2014/main" id="{7B0EE811-C7B1-4577-A973-58F50C0DB2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image003">
                      <a:extLst>
                        <a:ext uri="{FF2B5EF4-FFF2-40B4-BE49-F238E27FC236}">
                          <a16:creationId xmlns:a16="http://schemas.microsoft.com/office/drawing/2014/main" id="{7B0EE811-C7B1-4577-A973-58F50C0DB23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420" cy="75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B2A0D" w14:textId="77777777" w:rsidR="00953643" w:rsidRPr="00B14BE5" w:rsidRDefault="0095364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6019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2025"/>
        <w:gridCol w:w="2968"/>
        <w:gridCol w:w="1514"/>
        <w:gridCol w:w="2273"/>
        <w:gridCol w:w="1819"/>
        <w:gridCol w:w="2835"/>
      </w:tblGrid>
      <w:tr w:rsidR="002040D1" w:rsidRPr="0066190C" w14:paraId="0A29A580" w14:textId="77777777" w:rsidTr="4FB35879"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4E47B" w14:textId="77777777" w:rsidR="002040D1" w:rsidRPr="0066190C" w:rsidRDefault="002040D1" w:rsidP="00B52AC4">
            <w:pPr>
              <w:pStyle w:val="Title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0C">
              <w:rPr>
                <w:rFonts w:asciiTheme="minorHAnsi" w:hAnsiTheme="minorHAnsi" w:cstheme="minorHAnsi"/>
                <w:b/>
                <w:sz w:val="22"/>
                <w:szCs w:val="22"/>
              </w:rPr>
              <w:t>ROLE Title:</w:t>
            </w:r>
          </w:p>
          <w:p w14:paraId="3E2E1029" w14:textId="32C3471E" w:rsidR="00157991" w:rsidRPr="0066190C" w:rsidRDefault="00157991" w:rsidP="00B52AC4">
            <w:pPr>
              <w:pStyle w:val="Title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0C">
              <w:rPr>
                <w:rFonts w:asciiTheme="minorHAnsi" w:hAnsiTheme="minorHAnsi" w:cstheme="minorHAnsi"/>
                <w:b/>
                <w:sz w:val="22"/>
                <w:szCs w:val="22"/>
              </w:rPr>
              <w:t>GRADE</w:t>
            </w:r>
            <w:r w:rsidR="00276ED8" w:rsidRPr="0066190C">
              <w:rPr>
                <w:rFonts w:asciiTheme="minorHAnsi" w:hAnsiTheme="minorHAnsi" w:cstheme="minorHAnsi"/>
                <w:b/>
                <w:sz w:val="22"/>
                <w:szCs w:val="22"/>
              </w:rPr>
              <w:t>/salary</w:t>
            </w:r>
            <w:r w:rsidR="000A4D99" w:rsidRPr="0066190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EC7B2" w14:textId="66677344" w:rsidR="00CA6255" w:rsidRPr="0066190C" w:rsidRDefault="00D164AF" w:rsidP="00505DE3">
            <w:pPr>
              <w:pStyle w:val="Title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CHIEF </w:t>
            </w:r>
            <w:r w:rsidR="00B40706" w:rsidRPr="0066190C">
              <w:rPr>
                <w:rFonts w:asciiTheme="minorHAnsi" w:hAnsiTheme="minorHAnsi" w:cstheme="minorHAnsi"/>
                <w:sz w:val="22"/>
                <w:szCs w:val="22"/>
              </w:rPr>
              <w:t>Legal</w:t>
            </w:r>
            <w:r w:rsidR="00C30EC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40706" w:rsidRPr="0066190C">
              <w:rPr>
                <w:rFonts w:asciiTheme="minorHAnsi" w:hAnsiTheme="minorHAnsi" w:cstheme="minorHAnsi"/>
                <w:sz w:val="22"/>
                <w:szCs w:val="22"/>
              </w:rPr>
              <w:t>Compliance</w:t>
            </w:r>
            <w:r w:rsidR="00C30EC7">
              <w:rPr>
                <w:rFonts w:asciiTheme="minorHAnsi" w:hAnsiTheme="minorHAnsi" w:cstheme="minorHAnsi"/>
                <w:sz w:val="22"/>
                <w:szCs w:val="22"/>
              </w:rPr>
              <w:t xml:space="preserve"> AND RISK</w:t>
            </w:r>
            <w:r w:rsidR="003174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officer</w:t>
            </w:r>
            <w:r w:rsidR="00717232">
              <w:rPr>
                <w:rFonts w:asciiTheme="minorHAnsi" w:hAnsiTheme="minorHAnsi" w:cstheme="minorHAnsi"/>
                <w:sz w:val="22"/>
                <w:szCs w:val="22"/>
              </w:rPr>
              <w:t xml:space="preserve"> (C</w:t>
            </w:r>
            <w:r w:rsidR="00C30EC7">
              <w:rPr>
                <w:rFonts w:asciiTheme="minorHAnsi" w:hAnsiTheme="minorHAnsi" w:cstheme="minorHAnsi"/>
                <w:sz w:val="22"/>
                <w:szCs w:val="22"/>
              </w:rPr>
              <w:t>lcr</w:t>
            </w:r>
            <w:r w:rsidR="00717232">
              <w:rPr>
                <w:rFonts w:asciiTheme="minorHAnsi" w:hAnsiTheme="minorHAnsi" w:cstheme="minorHAnsi"/>
                <w:sz w:val="22"/>
                <w:szCs w:val="22"/>
              </w:rPr>
              <w:t>O)</w:t>
            </w:r>
          </w:p>
          <w:p w14:paraId="05AFA021" w14:textId="1CF064C3" w:rsidR="00505DE3" w:rsidRPr="0066190C" w:rsidRDefault="00D164AF" w:rsidP="00505DE3">
            <w:pPr>
              <w:pStyle w:val="Title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32F5E">
              <w:rPr>
                <w:rFonts w:asciiTheme="minorHAnsi" w:hAnsiTheme="minorHAnsi" w:cstheme="minorHAnsi"/>
                <w:sz w:val="22"/>
                <w:szCs w:val="22"/>
              </w:rPr>
              <w:t>hief officer salary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EC8C3" w14:textId="6720D903" w:rsidR="002040D1" w:rsidRPr="0066190C" w:rsidRDefault="002040D1" w:rsidP="00B52AC4">
            <w:pPr>
              <w:pStyle w:val="Title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8B237" w14:textId="4B2251EC" w:rsidR="002040D1" w:rsidRPr="0066190C" w:rsidRDefault="00884DCA" w:rsidP="0018713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DATE: </w:t>
            </w:r>
            <w:r w:rsidR="00CA6255" w:rsidRPr="006619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D32F5E">
              <w:rPr>
                <w:rFonts w:asciiTheme="minorHAnsi" w:hAnsiTheme="minorHAnsi" w:cstheme="minorHAnsi"/>
                <w:b/>
                <w:sz w:val="22"/>
                <w:szCs w:val="22"/>
              </w:rPr>
              <w:t>Aug</w:t>
            </w:r>
            <w:r w:rsidR="00FC7B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40706" w:rsidRPr="00AD6E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</w:t>
            </w:r>
            <w:r w:rsidR="00FC7B5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287E35" w:rsidRPr="006619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</w:t>
            </w:r>
          </w:p>
        </w:tc>
      </w:tr>
      <w:tr w:rsidR="002040D1" w:rsidRPr="0066190C" w14:paraId="065E3BAE" w14:textId="77777777" w:rsidTr="4FB35879"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ED7D8" w14:textId="77777777" w:rsidR="002040D1" w:rsidRPr="0066190C" w:rsidRDefault="002040D1" w:rsidP="00B52AC4">
            <w:pPr>
              <w:pStyle w:val="Title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B6A17" w14:textId="77777777" w:rsidR="002040D1" w:rsidRPr="0066190C" w:rsidRDefault="002040D1" w:rsidP="00B52AC4">
            <w:pPr>
              <w:pStyle w:val="Title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1A821" w14:textId="5435B283" w:rsidR="002040D1" w:rsidRPr="0066190C" w:rsidRDefault="002040D1" w:rsidP="00B52AC4">
            <w:pPr>
              <w:pStyle w:val="Title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BE789" w14:textId="77777777" w:rsidR="002040D1" w:rsidRPr="0066190C" w:rsidRDefault="002040D1" w:rsidP="00B52AC4">
            <w:pPr>
              <w:pStyle w:val="Title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040D1" w:rsidRPr="001843FE" w14:paraId="46AC6092" w14:textId="77777777" w:rsidTr="00DD4526">
        <w:tc>
          <w:tcPr>
            <w:tcW w:w="4610" w:type="dxa"/>
            <w:gridSpan w:val="2"/>
            <w:shd w:val="clear" w:color="auto" w:fill="auto"/>
          </w:tcPr>
          <w:p w14:paraId="68242B92" w14:textId="77777777" w:rsidR="002040D1" w:rsidRPr="001843FE" w:rsidRDefault="002040D1" w:rsidP="00A21B5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43FE">
              <w:rPr>
                <w:rFonts w:asciiTheme="minorHAnsi" w:hAnsiTheme="minorHAnsi" w:cstheme="minorHAnsi"/>
                <w:b/>
                <w:sz w:val="16"/>
                <w:szCs w:val="16"/>
              </w:rPr>
              <w:t>Role</w:t>
            </w:r>
          </w:p>
        </w:tc>
        <w:tc>
          <w:tcPr>
            <w:tcW w:w="4482" w:type="dxa"/>
            <w:gridSpan w:val="2"/>
            <w:shd w:val="clear" w:color="auto" w:fill="auto"/>
          </w:tcPr>
          <w:p w14:paraId="4EA86411" w14:textId="77777777" w:rsidR="002040D1" w:rsidRPr="001843FE" w:rsidRDefault="002040D1" w:rsidP="00A21B5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43FE">
              <w:rPr>
                <w:rFonts w:asciiTheme="minorHAnsi" w:hAnsiTheme="minorHAnsi" w:cstheme="minorHAnsi"/>
                <w:b/>
                <w:sz w:val="16"/>
                <w:szCs w:val="16"/>
              </w:rPr>
              <w:t>Need to Do</w:t>
            </w:r>
          </w:p>
        </w:tc>
        <w:tc>
          <w:tcPr>
            <w:tcW w:w="4092" w:type="dxa"/>
            <w:gridSpan w:val="2"/>
            <w:shd w:val="clear" w:color="auto" w:fill="auto"/>
          </w:tcPr>
          <w:p w14:paraId="2D13CCD3" w14:textId="406BBE16" w:rsidR="002040D1" w:rsidRPr="001843FE" w:rsidRDefault="002040D1" w:rsidP="00A21B5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43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Need </w:t>
            </w:r>
            <w:r w:rsidR="00A43132" w:rsidRPr="001843FE">
              <w:rPr>
                <w:rFonts w:asciiTheme="minorHAnsi" w:hAnsiTheme="minorHAnsi" w:cstheme="minorHAnsi"/>
                <w:b/>
                <w:sz w:val="16"/>
                <w:szCs w:val="16"/>
              </w:rPr>
              <w:t>to</w:t>
            </w:r>
            <w:r w:rsidRPr="001843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Know</w:t>
            </w:r>
          </w:p>
        </w:tc>
        <w:tc>
          <w:tcPr>
            <w:tcW w:w="2835" w:type="dxa"/>
            <w:shd w:val="clear" w:color="auto" w:fill="auto"/>
          </w:tcPr>
          <w:p w14:paraId="6BA57CA9" w14:textId="45FF2B7E" w:rsidR="002040D1" w:rsidRPr="001843FE" w:rsidRDefault="00F21545" w:rsidP="00A21B5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43FE">
              <w:rPr>
                <w:rFonts w:asciiTheme="minorHAnsi" w:hAnsiTheme="minorHAnsi" w:cstheme="minorHAnsi"/>
                <w:b/>
                <w:sz w:val="16"/>
                <w:szCs w:val="16"/>
              </w:rPr>
              <w:t>Values and Behaviours</w:t>
            </w:r>
          </w:p>
        </w:tc>
      </w:tr>
      <w:tr w:rsidR="002040D1" w:rsidRPr="001843FE" w14:paraId="3C33A09E" w14:textId="77777777" w:rsidTr="00DD4526">
        <w:tc>
          <w:tcPr>
            <w:tcW w:w="4610" w:type="dxa"/>
            <w:gridSpan w:val="2"/>
            <w:shd w:val="clear" w:color="auto" w:fill="auto"/>
          </w:tcPr>
          <w:p w14:paraId="0251BB79" w14:textId="5C66D2EF" w:rsidR="004909FB" w:rsidRPr="001843FE" w:rsidRDefault="00AF6455" w:rsidP="004909FB">
            <w:pPr>
              <w:pStyle w:val="Subtitle"/>
              <w:numPr>
                <w:ilvl w:val="0"/>
                <w:numId w:val="0"/>
              </w:numPr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1843FE">
              <w:rPr>
                <w:rFonts w:cstheme="minorHAnsi"/>
                <w:b/>
                <w:color w:val="auto"/>
                <w:sz w:val="16"/>
                <w:szCs w:val="16"/>
              </w:rPr>
              <w:t xml:space="preserve">Role </w:t>
            </w:r>
            <w:r w:rsidR="002040D1" w:rsidRPr="001843FE">
              <w:rPr>
                <w:rFonts w:cstheme="minorHAnsi"/>
                <w:b/>
                <w:color w:val="auto"/>
                <w:sz w:val="16"/>
                <w:szCs w:val="16"/>
              </w:rPr>
              <w:t>Purpose</w:t>
            </w:r>
            <w:r w:rsidR="00CF1102" w:rsidRPr="001843FE">
              <w:rPr>
                <w:rFonts w:cstheme="minorHAnsi"/>
                <w:b/>
                <w:color w:val="auto"/>
                <w:sz w:val="16"/>
                <w:szCs w:val="16"/>
              </w:rPr>
              <w:t>:</w:t>
            </w:r>
          </w:p>
          <w:p w14:paraId="5C3AB7D7" w14:textId="4E66AB49" w:rsidR="00D164AF" w:rsidRPr="007A2402" w:rsidRDefault="00D164AF" w:rsidP="00D164AF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A2402">
              <w:rPr>
                <w:rFonts w:asciiTheme="minorHAnsi" w:hAnsiTheme="minorHAnsi" w:cstheme="minorHAnsi"/>
                <w:sz w:val="16"/>
                <w:szCs w:val="16"/>
              </w:rPr>
              <w:t>LGPS Central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is </w:t>
            </w:r>
            <w:r w:rsidRPr="007A2402">
              <w:rPr>
                <w:rFonts w:ascii="Calibri" w:hAnsi="Calibri" w:cs="Calibri"/>
                <w:sz w:val="16"/>
                <w:szCs w:val="16"/>
              </w:rPr>
              <w:t xml:space="preserve">looking for an experienced </w:t>
            </w:r>
            <w:r w:rsidR="00717232">
              <w:rPr>
                <w:rFonts w:ascii="Calibri" w:hAnsi="Calibri" w:cs="Calibri"/>
                <w:sz w:val="16"/>
                <w:szCs w:val="16"/>
              </w:rPr>
              <w:t>risk, legal and compliance p</w:t>
            </w:r>
            <w:r w:rsidRPr="007A2402">
              <w:rPr>
                <w:rFonts w:ascii="Calibri" w:hAnsi="Calibri" w:cs="Calibri"/>
                <w:sz w:val="16"/>
                <w:szCs w:val="16"/>
              </w:rPr>
              <w:t xml:space="preserve">rofessional to join our senior management team in the position of </w:t>
            </w:r>
            <w:r w:rsidR="00717232">
              <w:rPr>
                <w:rFonts w:ascii="Calibri" w:hAnsi="Calibri" w:cs="Calibri"/>
                <w:sz w:val="16"/>
                <w:szCs w:val="16"/>
              </w:rPr>
              <w:t>Chief Risk, Legal and Compliance Officer (C</w:t>
            </w:r>
            <w:r w:rsidR="00C30EC7">
              <w:rPr>
                <w:rFonts w:ascii="Calibri" w:hAnsi="Calibri" w:cs="Calibri"/>
                <w:sz w:val="16"/>
                <w:szCs w:val="16"/>
              </w:rPr>
              <w:t>LCRO</w:t>
            </w:r>
            <w:r w:rsidR="00717232">
              <w:rPr>
                <w:rFonts w:ascii="Calibri" w:hAnsi="Calibri" w:cs="Calibri"/>
                <w:sz w:val="16"/>
                <w:szCs w:val="16"/>
              </w:rPr>
              <w:t>)</w:t>
            </w:r>
            <w:r w:rsidRPr="007A2402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This is an Exco- level, newly established role</w:t>
            </w:r>
            <w:r w:rsidR="00717232">
              <w:rPr>
                <w:rFonts w:ascii="Calibri" w:hAnsi="Calibri" w:cs="Calibri"/>
                <w:sz w:val="16"/>
                <w:szCs w:val="16"/>
              </w:rPr>
              <w:t>, reporting to the CEO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  <w:p w14:paraId="53ABAC57" w14:textId="77777777" w:rsidR="00D164AF" w:rsidRDefault="00D164AF" w:rsidP="00D164A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FF5B65" w14:textId="4E967978" w:rsidR="00D164AF" w:rsidRDefault="00D164AF" w:rsidP="00D164A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76A9">
              <w:rPr>
                <w:rFonts w:asciiTheme="minorHAnsi" w:hAnsiTheme="minorHAnsi" w:cstheme="minorHAnsi"/>
                <w:sz w:val="16"/>
                <w:szCs w:val="16"/>
              </w:rPr>
              <w:t>The C</w:t>
            </w:r>
            <w:r w:rsidR="00C30EC7">
              <w:rPr>
                <w:rFonts w:asciiTheme="minorHAnsi" w:hAnsiTheme="minorHAnsi" w:cstheme="minorHAnsi"/>
                <w:sz w:val="16"/>
                <w:szCs w:val="16"/>
              </w:rPr>
              <w:t>LCR</w:t>
            </w:r>
            <w:r w:rsidR="00717232" w:rsidRPr="006376A9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6376A9">
              <w:rPr>
                <w:rFonts w:asciiTheme="minorHAnsi" w:hAnsiTheme="minorHAnsi" w:cstheme="minorHAnsi"/>
                <w:sz w:val="16"/>
                <w:szCs w:val="16"/>
              </w:rPr>
              <w:t xml:space="preserve"> will </w:t>
            </w:r>
            <w:r w:rsidR="00717232" w:rsidRPr="006376A9">
              <w:rPr>
                <w:rFonts w:asciiTheme="minorHAnsi" w:hAnsiTheme="minorHAnsi" w:cstheme="minorHAnsi"/>
                <w:sz w:val="16"/>
                <w:szCs w:val="16"/>
              </w:rPr>
              <w:t>be the senior executive accountable for all Risk, Legal and Compliance matters at LGPSC</w:t>
            </w:r>
            <w:r w:rsidRPr="006376A9">
              <w:rPr>
                <w:rFonts w:asciiTheme="minorHAnsi" w:hAnsiTheme="minorHAnsi" w:cstheme="minorHAnsi"/>
                <w:sz w:val="16"/>
                <w:szCs w:val="16"/>
              </w:rPr>
              <w:t xml:space="preserve"> as we move into the next phase of our corporate evolution. </w:t>
            </w:r>
            <w:r w:rsidR="004D795A" w:rsidRPr="007469E9">
              <w:rPr>
                <w:rFonts w:asciiTheme="minorHAnsi" w:hAnsiTheme="minorHAnsi" w:cstheme="minorHAnsi"/>
                <w:sz w:val="16"/>
                <w:szCs w:val="16"/>
              </w:rPr>
              <w:t>The C</w:t>
            </w:r>
            <w:r w:rsidR="00C30EC7">
              <w:rPr>
                <w:rFonts w:asciiTheme="minorHAnsi" w:hAnsiTheme="minorHAnsi" w:cstheme="minorHAnsi"/>
                <w:sz w:val="16"/>
                <w:szCs w:val="16"/>
              </w:rPr>
              <w:t>LCRO</w:t>
            </w:r>
            <w:r w:rsidR="009A32CB">
              <w:rPr>
                <w:rFonts w:asciiTheme="minorHAnsi" w:hAnsiTheme="minorHAnsi" w:cstheme="minorHAnsi"/>
                <w:sz w:val="16"/>
                <w:szCs w:val="16"/>
              </w:rPr>
              <w:t>’s</w:t>
            </w:r>
            <w:r w:rsidR="004D795A" w:rsidRPr="007469E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3350A" w:rsidRPr="006376A9">
              <w:rPr>
                <w:rFonts w:asciiTheme="minorHAnsi" w:hAnsiTheme="minorHAnsi" w:cstheme="minorHAnsi"/>
                <w:sz w:val="16"/>
                <w:szCs w:val="16"/>
              </w:rPr>
              <w:t>primary role</w:t>
            </w:r>
            <w:r w:rsidR="00EC0FBC" w:rsidRPr="006376A9">
              <w:rPr>
                <w:rFonts w:asciiTheme="minorHAnsi" w:hAnsiTheme="minorHAnsi" w:cstheme="minorHAnsi"/>
                <w:sz w:val="16"/>
                <w:szCs w:val="16"/>
              </w:rPr>
              <w:t xml:space="preserve"> will be</w:t>
            </w:r>
            <w:r w:rsidR="00F328FC" w:rsidRPr="006376A9">
              <w:rPr>
                <w:rFonts w:asciiTheme="minorHAnsi" w:hAnsiTheme="minorHAnsi" w:cstheme="minorHAnsi"/>
                <w:sz w:val="16"/>
                <w:szCs w:val="16"/>
              </w:rPr>
              <w:t xml:space="preserve"> to</w:t>
            </w:r>
            <w:r w:rsidR="00EC0FBC" w:rsidRPr="006376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E749E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F328FC" w:rsidRPr="006376A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nsure that LGPSC always satisfies its legal, regulatory and risk control obligations</w:t>
            </w:r>
            <w:r w:rsidR="005E749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D2142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and to m</w:t>
            </w:r>
            <w:r w:rsidR="00CA37F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anage </w:t>
            </w:r>
            <w:r w:rsidR="00F328FC" w:rsidRPr="006376A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LGPSC’s</w:t>
            </w:r>
            <w:r w:rsidR="00F328FC" w:rsidRPr="006376A9">
              <w:rPr>
                <w:rFonts w:asciiTheme="minorHAnsi" w:hAnsiTheme="minorHAnsi" w:cstheme="minorHAnsi"/>
                <w:sz w:val="16"/>
                <w:szCs w:val="16"/>
              </w:rPr>
              <w:t xml:space="preserve"> legal, regulatory and enterprise risk exposure</w:t>
            </w:r>
            <w:r w:rsidR="00CA37F5">
              <w:rPr>
                <w:rFonts w:asciiTheme="minorHAnsi" w:hAnsiTheme="minorHAnsi" w:cstheme="minorHAnsi"/>
                <w:sz w:val="16"/>
                <w:szCs w:val="16"/>
              </w:rPr>
              <w:t>s.</w:t>
            </w:r>
            <w:r w:rsidR="00EC0FB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474D0">
              <w:rPr>
                <w:rFonts w:asciiTheme="minorHAnsi" w:hAnsiTheme="minorHAnsi" w:cstheme="minorHAnsi"/>
                <w:sz w:val="16"/>
                <w:szCs w:val="16"/>
              </w:rPr>
              <w:t xml:space="preserve">Building </w:t>
            </w:r>
            <w:r w:rsidR="009C6992">
              <w:rPr>
                <w:rFonts w:asciiTheme="minorHAnsi" w:hAnsiTheme="minorHAnsi" w:cstheme="minorHAnsi"/>
                <w:sz w:val="16"/>
                <w:szCs w:val="16"/>
              </w:rPr>
              <w:t>strong professional relationships with regulators</w:t>
            </w:r>
            <w:r w:rsidR="00190687">
              <w:rPr>
                <w:rFonts w:asciiTheme="minorHAnsi" w:hAnsiTheme="minorHAnsi" w:cstheme="minorHAnsi"/>
                <w:sz w:val="16"/>
                <w:szCs w:val="16"/>
              </w:rPr>
              <w:t xml:space="preserve"> and external assurance </w:t>
            </w:r>
            <w:r w:rsidR="005A233F">
              <w:rPr>
                <w:rFonts w:asciiTheme="minorHAnsi" w:hAnsiTheme="minorHAnsi" w:cstheme="minorHAnsi"/>
                <w:sz w:val="16"/>
                <w:szCs w:val="16"/>
              </w:rPr>
              <w:t xml:space="preserve">bodies is an essential </w:t>
            </w:r>
            <w:r w:rsidR="00785B83">
              <w:rPr>
                <w:rFonts w:asciiTheme="minorHAnsi" w:hAnsiTheme="minorHAnsi" w:cstheme="minorHAnsi"/>
                <w:sz w:val="16"/>
                <w:szCs w:val="16"/>
              </w:rPr>
              <w:t>element</w:t>
            </w:r>
            <w:r w:rsidR="004B5AC1">
              <w:rPr>
                <w:rFonts w:asciiTheme="minorHAnsi" w:hAnsiTheme="minorHAnsi" w:cstheme="minorHAnsi"/>
                <w:sz w:val="16"/>
                <w:szCs w:val="16"/>
              </w:rPr>
              <w:t xml:space="preserve"> of this</w:t>
            </w:r>
            <w:r w:rsidR="00785B83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0E623113" w14:textId="77777777" w:rsidR="00D164AF" w:rsidRDefault="00D164AF" w:rsidP="00D164A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015149" w14:textId="3FB6E46C" w:rsidR="00D164AF" w:rsidRDefault="000D08DD" w:rsidP="00D164A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9E9">
              <w:rPr>
                <w:rFonts w:asciiTheme="minorHAnsi" w:hAnsiTheme="minorHAnsi" w:cstheme="minorHAnsi"/>
                <w:sz w:val="16"/>
                <w:szCs w:val="16"/>
              </w:rPr>
              <w:t>The C</w:t>
            </w:r>
            <w:r w:rsidR="00C30EC7">
              <w:rPr>
                <w:rFonts w:asciiTheme="minorHAnsi" w:hAnsiTheme="minorHAnsi" w:cstheme="minorHAnsi"/>
                <w:sz w:val="16"/>
                <w:szCs w:val="16"/>
              </w:rPr>
              <w:t>LCRO</w:t>
            </w:r>
            <w:r w:rsidRPr="007469E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will p</w:t>
            </w:r>
            <w:r w:rsidR="00D164AF">
              <w:rPr>
                <w:rFonts w:ascii="Calibri" w:hAnsi="Calibri" w:cs="Calibri"/>
                <w:sz w:val="16"/>
                <w:szCs w:val="16"/>
              </w:rPr>
              <w:t xml:space="preserve">roactively anticipating our future business needs </w:t>
            </w:r>
            <w:r w:rsidR="00717232">
              <w:rPr>
                <w:rFonts w:ascii="Calibri" w:hAnsi="Calibri" w:cs="Calibri"/>
                <w:sz w:val="16"/>
                <w:szCs w:val="16"/>
              </w:rPr>
              <w:t>and regul</w:t>
            </w:r>
            <w:r w:rsidR="00DD71F6">
              <w:rPr>
                <w:rFonts w:ascii="Calibri" w:hAnsi="Calibri" w:cs="Calibri"/>
                <w:sz w:val="16"/>
                <w:szCs w:val="16"/>
              </w:rPr>
              <w:t>a</w:t>
            </w:r>
            <w:r w:rsidR="00717232">
              <w:rPr>
                <w:rFonts w:ascii="Calibri" w:hAnsi="Calibri" w:cs="Calibri"/>
                <w:sz w:val="16"/>
                <w:szCs w:val="16"/>
              </w:rPr>
              <w:t>tory obligations</w:t>
            </w:r>
            <w:r w:rsidR="00DD71F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164AF">
              <w:rPr>
                <w:rFonts w:ascii="Calibri" w:hAnsi="Calibri" w:cs="Calibri"/>
                <w:sz w:val="16"/>
                <w:szCs w:val="16"/>
              </w:rPr>
              <w:t xml:space="preserve">as </w:t>
            </w:r>
            <w:r w:rsidR="00D164AF" w:rsidRPr="000A1AB8">
              <w:rPr>
                <w:rFonts w:asciiTheme="minorHAnsi" w:hAnsiTheme="minorHAnsi" w:cstheme="minorHAnsi"/>
                <w:sz w:val="16"/>
                <w:szCs w:val="16"/>
              </w:rPr>
              <w:t>we complete the asset transitions from Partner Funds into the LGPSC Pool, the demands around Responsible Investment continue to grow and pooling moves into its next phase</w:t>
            </w:r>
            <w:r w:rsidR="00D164AF">
              <w:rPr>
                <w:rFonts w:asciiTheme="minorHAnsi" w:hAnsiTheme="minorHAnsi" w:cstheme="minorHAnsi"/>
                <w:sz w:val="16"/>
                <w:szCs w:val="16"/>
              </w:rPr>
              <w:t xml:space="preserve"> will </w:t>
            </w:r>
            <w:r w:rsidR="00CA37F5">
              <w:rPr>
                <w:rFonts w:asciiTheme="minorHAnsi" w:hAnsiTheme="minorHAnsi" w:cstheme="minorHAnsi"/>
                <w:sz w:val="16"/>
                <w:szCs w:val="16"/>
              </w:rPr>
              <w:t xml:space="preserve">also </w:t>
            </w:r>
            <w:r w:rsidR="00D164AF">
              <w:rPr>
                <w:rFonts w:asciiTheme="minorHAnsi" w:hAnsiTheme="minorHAnsi" w:cstheme="minorHAnsi"/>
                <w:sz w:val="16"/>
                <w:szCs w:val="16"/>
              </w:rPr>
              <w:t xml:space="preserve">be an </w:t>
            </w:r>
            <w:r w:rsidR="00785B83">
              <w:rPr>
                <w:rFonts w:asciiTheme="minorHAnsi" w:hAnsiTheme="minorHAnsi" w:cstheme="minorHAnsi"/>
                <w:sz w:val="16"/>
                <w:szCs w:val="16"/>
              </w:rPr>
              <w:t xml:space="preserve">important </w:t>
            </w:r>
            <w:r w:rsidR="00D164AF">
              <w:rPr>
                <w:rFonts w:asciiTheme="minorHAnsi" w:hAnsiTheme="minorHAnsi" w:cstheme="minorHAnsi"/>
                <w:sz w:val="16"/>
                <w:szCs w:val="16"/>
              </w:rPr>
              <w:t>component of the role</w:t>
            </w:r>
            <w:r w:rsidR="00D164AF" w:rsidRPr="000A1AB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19337074" w14:textId="656DD008" w:rsidR="00DD71F6" w:rsidRDefault="00DD71F6" w:rsidP="00D164A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BE0AE5" w14:textId="37B777E5" w:rsidR="00D87B30" w:rsidRPr="001843FE" w:rsidRDefault="009A32CB" w:rsidP="00D87B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9E9">
              <w:rPr>
                <w:rFonts w:asciiTheme="minorHAnsi" w:hAnsiTheme="minorHAnsi" w:cstheme="minorHAnsi"/>
                <w:sz w:val="16"/>
                <w:szCs w:val="16"/>
              </w:rPr>
              <w:t>The C</w:t>
            </w:r>
            <w:r w:rsidR="00C30EC7">
              <w:rPr>
                <w:rFonts w:asciiTheme="minorHAnsi" w:hAnsiTheme="minorHAnsi" w:cstheme="minorHAnsi"/>
                <w:sz w:val="16"/>
                <w:szCs w:val="16"/>
              </w:rPr>
              <w:t>LCRO</w:t>
            </w:r>
            <w:r w:rsidRPr="007469E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87B30" w:rsidRPr="001843FE">
              <w:rPr>
                <w:rFonts w:asciiTheme="minorHAnsi" w:hAnsiTheme="minorHAnsi" w:cstheme="minorHAnsi"/>
                <w:sz w:val="16"/>
                <w:szCs w:val="16"/>
              </w:rPr>
              <w:t xml:space="preserve">will offer counsel to </w:t>
            </w:r>
            <w:r w:rsidR="00D87B30">
              <w:rPr>
                <w:rFonts w:asciiTheme="minorHAnsi" w:hAnsiTheme="minorHAnsi" w:cstheme="minorHAnsi"/>
                <w:sz w:val="16"/>
                <w:szCs w:val="16"/>
              </w:rPr>
              <w:t xml:space="preserve">the Board, Exco and LGPSC </w:t>
            </w:r>
            <w:r w:rsidR="00D87B30" w:rsidRPr="001843FE">
              <w:rPr>
                <w:rFonts w:asciiTheme="minorHAnsi" w:hAnsiTheme="minorHAnsi" w:cstheme="minorHAnsi"/>
                <w:sz w:val="16"/>
                <w:szCs w:val="16"/>
              </w:rPr>
              <w:t xml:space="preserve">senior management on </w:t>
            </w:r>
            <w:r w:rsidR="00D87B30">
              <w:rPr>
                <w:rFonts w:asciiTheme="minorHAnsi" w:hAnsiTheme="minorHAnsi" w:cstheme="minorHAnsi"/>
                <w:sz w:val="16"/>
                <w:szCs w:val="16"/>
              </w:rPr>
              <w:t xml:space="preserve">all </w:t>
            </w:r>
            <w:r w:rsidR="00D87B30" w:rsidRPr="001843FE">
              <w:rPr>
                <w:rFonts w:asciiTheme="minorHAnsi" w:hAnsiTheme="minorHAnsi" w:cstheme="minorHAnsi"/>
                <w:sz w:val="16"/>
                <w:szCs w:val="16"/>
              </w:rPr>
              <w:t xml:space="preserve">legal and regulatory matters, be an effective guardian of the organisation and as a member of </w:t>
            </w:r>
            <w:r w:rsidR="00D87B30">
              <w:rPr>
                <w:rFonts w:asciiTheme="minorHAnsi" w:hAnsiTheme="minorHAnsi" w:cstheme="minorHAnsi"/>
                <w:sz w:val="16"/>
                <w:szCs w:val="16"/>
              </w:rPr>
              <w:t>Exco,</w:t>
            </w:r>
            <w:r w:rsidR="00D87B30" w:rsidRPr="001843F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87B30">
              <w:rPr>
                <w:rFonts w:asciiTheme="minorHAnsi" w:hAnsiTheme="minorHAnsi" w:cstheme="minorHAnsi"/>
                <w:sz w:val="16"/>
                <w:szCs w:val="16"/>
              </w:rPr>
              <w:t xml:space="preserve">actively contribute to the development of future business strategy. </w:t>
            </w:r>
          </w:p>
          <w:p w14:paraId="12A60E95" w14:textId="77777777" w:rsidR="00D87B30" w:rsidRDefault="00D87B30" w:rsidP="00DD71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5983DE1" w14:textId="77777777" w:rsidR="00D164AF" w:rsidRDefault="00D164AF" w:rsidP="00D164A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8AAAD9" w14:textId="77777777" w:rsidR="00D164AF" w:rsidRPr="007A2402" w:rsidRDefault="00D164AF" w:rsidP="00D164A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2402">
              <w:rPr>
                <w:rFonts w:asciiTheme="minorHAnsi" w:hAnsiTheme="minorHAnsi" w:cstheme="minorHAnsi"/>
                <w:sz w:val="16"/>
                <w:szCs w:val="16"/>
              </w:rPr>
              <w:t xml:space="preserve">LGPS Central Limited has been established to manage the investment assets of eight Local Government Pension Scheme (LGPS) funds across the Midlands. It will ultimately be responsible for managing around £45bn of assets on behalf of one million LGPS </w:t>
            </w:r>
            <w:r w:rsidRPr="007A240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members and 2,500 employers. The Company is regulated by the FCA.</w:t>
            </w:r>
          </w:p>
          <w:p w14:paraId="3EC8EC99" w14:textId="77777777" w:rsidR="00D164AF" w:rsidRPr="007A2402" w:rsidRDefault="00D164AF" w:rsidP="00D164A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29720A" w14:textId="753214E9" w:rsidR="00D164AF" w:rsidRPr="007A2402" w:rsidRDefault="00D164AF" w:rsidP="00D164A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A2402">
              <w:rPr>
                <w:rFonts w:asciiTheme="minorHAnsi" w:hAnsiTheme="minorHAnsi" w:cstheme="minorHAnsi"/>
                <w:sz w:val="16"/>
                <w:szCs w:val="16"/>
              </w:rPr>
              <w:t xml:space="preserve">The Company is owned by the Administering Authorities of our eight Partner Funds, making them both our shareholders and our clients. This creates an unusual and challenging </w:t>
            </w:r>
            <w:r w:rsidR="00D87B30">
              <w:rPr>
                <w:rFonts w:asciiTheme="minorHAnsi" w:hAnsiTheme="minorHAnsi" w:cstheme="minorHAnsi"/>
                <w:sz w:val="16"/>
                <w:szCs w:val="16"/>
              </w:rPr>
              <w:t xml:space="preserve">legal, regulatory and risk management </w:t>
            </w:r>
            <w:r w:rsidRPr="007A2402">
              <w:rPr>
                <w:rFonts w:asciiTheme="minorHAnsi" w:hAnsiTheme="minorHAnsi" w:cstheme="minorHAnsi"/>
                <w:sz w:val="16"/>
                <w:szCs w:val="16"/>
              </w:rPr>
              <w:t>opportunity</w:t>
            </w:r>
            <w:r w:rsidR="00D87B30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7A2402">
              <w:rPr>
                <w:rFonts w:asciiTheme="minorHAnsi" w:hAnsiTheme="minorHAnsi" w:cstheme="minorHAnsi"/>
                <w:sz w:val="16"/>
                <w:szCs w:val="16"/>
              </w:rPr>
              <w:t xml:space="preserve">As one of the eight LGPS asset pools, we also form part of a new and significant niche sector in the UK pensions industry which attracts keen interest from National/Local Government, </w:t>
            </w:r>
            <w:r w:rsidR="008B09B3">
              <w:rPr>
                <w:rFonts w:asciiTheme="minorHAnsi" w:hAnsiTheme="minorHAnsi" w:cstheme="minorHAnsi"/>
                <w:sz w:val="16"/>
                <w:szCs w:val="16"/>
              </w:rPr>
              <w:t xml:space="preserve">industry regulators </w:t>
            </w:r>
            <w:r w:rsidRPr="007A2402">
              <w:rPr>
                <w:rFonts w:asciiTheme="minorHAnsi" w:hAnsiTheme="minorHAnsi" w:cstheme="minorHAnsi"/>
                <w:sz w:val="16"/>
                <w:szCs w:val="16"/>
              </w:rPr>
              <w:t>and scrutiny from a wide group of sector and industry stakeholders and pressure groups.</w:t>
            </w:r>
          </w:p>
          <w:p w14:paraId="7A08B5E8" w14:textId="77777777" w:rsidR="00D164AF" w:rsidRPr="007A2402" w:rsidRDefault="00D164AF" w:rsidP="00D164A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B37820A" w14:textId="77777777" w:rsidR="00D164AF" w:rsidRDefault="00D164AF" w:rsidP="00D164AF">
            <w:pPr>
              <w:pStyle w:val="Subtitle"/>
              <w:rPr>
                <w:rFonts w:cstheme="minorHAnsi"/>
                <w:color w:val="auto"/>
                <w:sz w:val="16"/>
                <w:szCs w:val="16"/>
              </w:rPr>
            </w:pPr>
            <w:r w:rsidRPr="007A2402">
              <w:rPr>
                <w:rFonts w:cstheme="minorHAnsi"/>
                <w:b/>
                <w:color w:val="auto"/>
                <w:sz w:val="16"/>
                <w:szCs w:val="16"/>
              </w:rPr>
              <w:t>Reports to:</w:t>
            </w:r>
            <w:r w:rsidRPr="007A2402">
              <w:rPr>
                <w:rFonts w:cstheme="minorHAnsi"/>
                <w:color w:val="auto"/>
                <w:sz w:val="16"/>
                <w:szCs w:val="16"/>
              </w:rPr>
              <w:t xml:space="preserve"> </w:t>
            </w:r>
          </w:p>
          <w:p w14:paraId="5B847DBE" w14:textId="0A478B70" w:rsidR="00D164AF" w:rsidRPr="002163DC" w:rsidRDefault="00D164AF" w:rsidP="00D164AF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163D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The C</w:t>
            </w:r>
            <w:r w:rsidR="00C30EC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LCRO</w:t>
            </w:r>
            <w:r w:rsidRPr="002163D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will report to the CEO</w:t>
            </w:r>
            <w:r w:rsidR="00A93535" w:rsidRPr="002163D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manage an initial team of </w:t>
            </w:r>
            <w:r w:rsidR="002D294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8</w:t>
            </w:r>
            <w:r w:rsidR="00D32F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with 4 direct reports</w:t>
            </w:r>
          </w:p>
          <w:p w14:paraId="6E36DB10" w14:textId="4A61A974" w:rsidR="008B09B3" w:rsidRPr="002D294D" w:rsidRDefault="008B09B3" w:rsidP="002D294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6FBD260E" w14:textId="0D719354" w:rsidR="008B09B3" w:rsidRPr="002163DC" w:rsidRDefault="008B09B3" w:rsidP="00DD45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163D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Compliance Officer</w:t>
            </w:r>
          </w:p>
          <w:p w14:paraId="50F31859" w14:textId="4BF42B9F" w:rsidR="00A93535" w:rsidRPr="002163DC" w:rsidRDefault="00FA4A0A" w:rsidP="00DD45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163D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Enterprise </w:t>
            </w:r>
            <w:r w:rsidR="00A93535" w:rsidRPr="002163D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Risk Manager</w:t>
            </w:r>
          </w:p>
          <w:p w14:paraId="57D76FD0" w14:textId="78B44F10" w:rsidR="00A93535" w:rsidRDefault="00A93535" w:rsidP="00DD45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163D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Investment </w:t>
            </w:r>
            <w:r w:rsidR="00FA4A0A" w:rsidRPr="002163D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</w:t>
            </w:r>
            <w:r w:rsidRPr="002163D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isk Manager</w:t>
            </w:r>
          </w:p>
          <w:p w14:paraId="384A1066" w14:textId="1F4938E1" w:rsidR="002D294D" w:rsidRDefault="002D294D" w:rsidP="00DD452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Senior Lawyer</w:t>
            </w:r>
          </w:p>
          <w:p w14:paraId="63FD2FEA" w14:textId="77777777" w:rsidR="002D294D" w:rsidRPr="002163DC" w:rsidRDefault="002D294D" w:rsidP="002D294D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036B9E3F" w14:textId="77777777" w:rsidR="0031740B" w:rsidRPr="002163DC" w:rsidRDefault="0031740B" w:rsidP="4FB3587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450F18D1" w14:textId="77777777" w:rsidR="00177F90" w:rsidRPr="001843FE" w:rsidRDefault="00177F90" w:rsidP="00CF11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44D64E" w14:textId="77777777" w:rsidR="00CF1102" w:rsidRPr="001843FE" w:rsidRDefault="00CF1102" w:rsidP="00CF11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F0D410" w14:textId="77777777" w:rsidR="00CF1102" w:rsidRPr="001843FE" w:rsidRDefault="00CF1102" w:rsidP="00CF11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ECBBF9" w14:textId="75EC7D57" w:rsidR="00343E1C" w:rsidRPr="001843FE" w:rsidRDefault="006B2B71" w:rsidP="004909FB">
            <w:pPr>
              <w:pStyle w:val="Subtitle"/>
              <w:rPr>
                <w:rFonts w:cstheme="minorHAnsi"/>
                <w:color w:val="auto"/>
                <w:sz w:val="16"/>
                <w:szCs w:val="16"/>
              </w:rPr>
            </w:pPr>
            <w:r w:rsidRPr="001843FE">
              <w:rPr>
                <w:rFonts w:cstheme="minorHAns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482" w:type="dxa"/>
            <w:gridSpan w:val="2"/>
            <w:shd w:val="clear" w:color="auto" w:fill="auto"/>
          </w:tcPr>
          <w:p w14:paraId="052074EA" w14:textId="5E137267" w:rsidR="004909FB" w:rsidRDefault="004909FB" w:rsidP="004909FB">
            <w:pPr>
              <w:pStyle w:val="Subtitle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1843FE">
              <w:rPr>
                <w:rFonts w:cstheme="minorHAnsi"/>
                <w:b/>
                <w:color w:val="auto"/>
                <w:sz w:val="16"/>
                <w:szCs w:val="16"/>
              </w:rPr>
              <w:lastRenderedPageBreak/>
              <w:t>Outcomes</w:t>
            </w:r>
            <w:r w:rsidR="00CF1102" w:rsidRPr="001843FE">
              <w:rPr>
                <w:rFonts w:cstheme="minorHAnsi"/>
                <w:b/>
                <w:color w:val="auto"/>
                <w:sz w:val="16"/>
                <w:szCs w:val="16"/>
              </w:rPr>
              <w:t>:</w:t>
            </w:r>
          </w:p>
          <w:p w14:paraId="1C2A100F" w14:textId="0F3DA3D2" w:rsidR="00FB7C49" w:rsidRDefault="00FB7C49" w:rsidP="00FB7C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 C</w:t>
            </w:r>
            <w:r w:rsidR="00C30EC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LCRO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is </w:t>
            </w:r>
            <w:r w:rsidRPr="001843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required to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:</w:t>
            </w:r>
          </w:p>
          <w:p w14:paraId="14B6D523" w14:textId="750A69DE" w:rsidR="00FB7C49" w:rsidRDefault="00FB7C49" w:rsidP="00DD452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</w:t>
            </w:r>
            <w:r w:rsidRPr="007469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rovide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pragmatic and expert </w:t>
            </w:r>
            <w:r w:rsidRPr="007469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legal and regulatory guidance and advice to LGPSC </w:t>
            </w:r>
            <w:r w:rsidR="007377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Board/Exco </w:t>
            </w:r>
            <w:r w:rsidRPr="007469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on a broad range of financial/asset management and corporate services transactions</w:t>
            </w:r>
          </w:p>
          <w:p w14:paraId="430599B8" w14:textId="11312EFA" w:rsidR="00150ECE" w:rsidRDefault="009A7F87" w:rsidP="00DD452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Develop and implement </w:t>
            </w:r>
            <w:r w:rsidR="00274B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 legal and enterprise risk management </w:t>
            </w:r>
            <w:r w:rsidR="00EB224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strategy</w:t>
            </w:r>
            <w:r w:rsidR="00DE4C0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1C17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that anticipates future </w:t>
            </w:r>
            <w:r w:rsidR="00CC3E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regulatory initiatives</w:t>
            </w:r>
            <w:r w:rsidR="00110C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prepares the business for the next stage of pooling</w:t>
            </w:r>
            <w:r w:rsidR="00CC3E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and </w:t>
            </w:r>
            <w:r w:rsidR="001866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is an integral part of </w:t>
            </w:r>
            <w:r w:rsidR="00CC3E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the overall </w:t>
            </w:r>
            <w:r w:rsidR="001866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strategic</w:t>
            </w:r>
            <w:r w:rsidR="00DE4C0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150E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development of LGPSC</w:t>
            </w:r>
          </w:p>
          <w:p w14:paraId="451B5058" w14:textId="41983E59" w:rsidR="00FB7C49" w:rsidRDefault="00FB7C49" w:rsidP="00DD452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Ensure</w:t>
            </w:r>
            <w:r w:rsidRPr="007469E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that LGPSC always satisfies its legal, regulatory and risk control obligations.</w:t>
            </w:r>
          </w:p>
          <w:p w14:paraId="44E194B2" w14:textId="3AB8B7C7" w:rsidR="00473A78" w:rsidRDefault="00683527" w:rsidP="00DD452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Promote the external perception of LGPSC as an exemplar of </w:t>
            </w:r>
            <w:r w:rsidR="001D7E1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enterprise risk management</w:t>
            </w:r>
            <w:r w:rsidR="000F03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and regulatory compliance</w:t>
            </w:r>
          </w:p>
          <w:p w14:paraId="13B8D31A" w14:textId="77777777" w:rsidR="0073778A" w:rsidRDefault="0073778A" w:rsidP="00FB7C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C4A63C" w14:textId="604817CB" w:rsidR="00FB7C49" w:rsidRPr="006376A9" w:rsidRDefault="00617D89" w:rsidP="006376A9">
            <w:pPr>
              <w:rPr>
                <w:rFonts w:cstheme="minorHAnsi"/>
                <w:sz w:val="16"/>
                <w:szCs w:val="16"/>
              </w:rPr>
            </w:pPr>
            <w:r w:rsidRPr="006376A9">
              <w:rPr>
                <w:rFonts w:asciiTheme="minorHAnsi" w:hAnsiTheme="minorHAnsi" w:cstheme="minorHAnsi"/>
                <w:sz w:val="16"/>
                <w:szCs w:val="16"/>
              </w:rPr>
              <w:t>To deliver these outcomes, the C</w:t>
            </w:r>
            <w:r w:rsidR="00C30EC7">
              <w:rPr>
                <w:rFonts w:asciiTheme="minorHAnsi" w:hAnsiTheme="minorHAnsi" w:cstheme="minorHAnsi"/>
                <w:sz w:val="16"/>
                <w:szCs w:val="16"/>
              </w:rPr>
              <w:t>LCR</w:t>
            </w:r>
            <w:r w:rsidRPr="006376A9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73778A" w:rsidRPr="006376A9">
              <w:rPr>
                <w:rFonts w:asciiTheme="minorHAnsi" w:hAnsiTheme="minorHAnsi" w:cstheme="minorHAnsi"/>
                <w:sz w:val="16"/>
                <w:szCs w:val="16"/>
              </w:rPr>
              <w:t xml:space="preserve"> must:</w:t>
            </w:r>
          </w:p>
          <w:p w14:paraId="0A9161B2" w14:textId="2AB67A43" w:rsidR="00AB285A" w:rsidRDefault="0073778A" w:rsidP="00DD452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Be accountable </w:t>
            </w:r>
            <w:r w:rsidR="00AB285A" w:rsidRPr="00953365">
              <w:rPr>
                <w:rFonts w:asciiTheme="minorHAnsi" w:hAnsiTheme="minorHAnsi" w:cstheme="minorHAnsi"/>
                <w:sz w:val="16"/>
                <w:szCs w:val="16"/>
              </w:rPr>
              <w:t xml:space="preserve">for establishing the necessary control systems to manage </w:t>
            </w:r>
            <w:r w:rsidR="00B44AF3">
              <w:rPr>
                <w:rFonts w:asciiTheme="minorHAnsi" w:hAnsiTheme="minorHAnsi" w:cstheme="minorHAnsi"/>
                <w:sz w:val="16"/>
                <w:szCs w:val="16"/>
              </w:rPr>
              <w:t xml:space="preserve">enterprise </w:t>
            </w:r>
            <w:r w:rsidR="00AB285A" w:rsidRPr="00953365">
              <w:rPr>
                <w:rFonts w:asciiTheme="minorHAnsi" w:hAnsiTheme="minorHAnsi" w:cstheme="minorHAnsi"/>
                <w:sz w:val="16"/>
                <w:szCs w:val="16"/>
              </w:rPr>
              <w:t>risk and compliance within the tolerances acceptable to the Board and regulator</w:t>
            </w:r>
            <w:r w:rsidR="0026409F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953365" w:rsidRPr="009533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BED9C75" w14:textId="785AF138" w:rsidR="0042268F" w:rsidRDefault="0042268F" w:rsidP="00DD452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Ensure </w:t>
            </w:r>
            <w:r w:rsidR="003C7EC5">
              <w:rPr>
                <w:rFonts w:asciiTheme="minorHAnsi" w:hAnsiTheme="minorHAnsi" w:cstheme="minorHAnsi"/>
                <w:sz w:val="16"/>
                <w:szCs w:val="16"/>
              </w:rPr>
              <w:t xml:space="preserve">the LGPSC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enterprise risk control</w:t>
            </w:r>
            <w:r w:rsidR="003C7EC5">
              <w:rPr>
                <w:rFonts w:asciiTheme="minorHAnsi" w:hAnsiTheme="minorHAnsi" w:cstheme="minorHAnsi"/>
                <w:sz w:val="16"/>
                <w:szCs w:val="16"/>
              </w:rPr>
              <w:t xml:space="preserve"> framework evolves in parallel with the development of the company’s business activities</w:t>
            </w:r>
            <w:r w:rsidR="00993A6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947F2">
              <w:rPr>
                <w:rFonts w:asciiTheme="minorHAnsi" w:hAnsiTheme="minorHAnsi" w:cstheme="minorHAnsi"/>
                <w:sz w:val="16"/>
                <w:szCs w:val="16"/>
              </w:rPr>
              <w:t>and anticipates future legal and regulatory requirements</w:t>
            </w:r>
          </w:p>
          <w:p w14:paraId="59134994" w14:textId="77777777" w:rsidR="00D67E80" w:rsidRPr="001843FE" w:rsidRDefault="00D67E80" w:rsidP="00DD452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43FE">
              <w:rPr>
                <w:rFonts w:asciiTheme="minorHAnsi" w:hAnsiTheme="minorHAnsi" w:cstheme="minorHAnsi"/>
                <w:sz w:val="16"/>
                <w:szCs w:val="16"/>
              </w:rPr>
              <w:t>Identify need for external advice; specify and manage delivery of such advice</w:t>
            </w:r>
          </w:p>
          <w:p w14:paraId="11331FBE" w14:textId="64938468" w:rsidR="00CF3B4F" w:rsidRPr="00ED338A" w:rsidRDefault="00CE63E2" w:rsidP="00DD452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Monitor</w:t>
            </w:r>
            <w:r w:rsidR="00D25CB3">
              <w:rPr>
                <w:rFonts w:asciiTheme="minorHAnsi" w:hAnsiTheme="minorHAnsi" w:cstheme="minorHAnsi"/>
                <w:sz w:val="16"/>
                <w:szCs w:val="16"/>
              </w:rPr>
              <w:t xml:space="preserve"> and r</w:t>
            </w:r>
            <w:r w:rsidR="00CF3B4F">
              <w:rPr>
                <w:rFonts w:asciiTheme="minorHAnsi" w:hAnsiTheme="minorHAnsi" w:cstheme="minorHAnsi"/>
                <w:sz w:val="16"/>
                <w:szCs w:val="16"/>
              </w:rPr>
              <w:t xml:space="preserve">egularly report </w:t>
            </w:r>
            <w:r w:rsidR="00CF3B4F" w:rsidRPr="00ED338A">
              <w:rPr>
                <w:rFonts w:asciiTheme="minorHAnsi" w:hAnsiTheme="minorHAnsi" w:cstheme="minorHAnsi"/>
                <w:sz w:val="16"/>
                <w:szCs w:val="16"/>
              </w:rPr>
              <w:t>to the Board and Ex</w:t>
            </w:r>
            <w:r w:rsidR="00CF3B4F">
              <w:rPr>
                <w:rFonts w:asciiTheme="minorHAnsi" w:hAnsiTheme="minorHAnsi" w:cstheme="minorHAnsi"/>
                <w:sz w:val="16"/>
                <w:szCs w:val="16"/>
              </w:rPr>
              <w:t>co</w:t>
            </w:r>
            <w:r w:rsidR="00CF3B4F" w:rsidRPr="00ED338A">
              <w:rPr>
                <w:rFonts w:asciiTheme="minorHAnsi" w:hAnsiTheme="minorHAnsi" w:cstheme="minorHAnsi"/>
                <w:sz w:val="16"/>
                <w:szCs w:val="16"/>
              </w:rPr>
              <w:t xml:space="preserve"> on risk levels within the organisation</w:t>
            </w:r>
            <w:r w:rsidR="00CF3B4F">
              <w:rPr>
                <w:rFonts w:asciiTheme="minorHAnsi" w:hAnsiTheme="minorHAnsi" w:cstheme="minorHAnsi"/>
                <w:sz w:val="16"/>
                <w:szCs w:val="16"/>
              </w:rPr>
              <w:t xml:space="preserve"> and the Central pool.</w:t>
            </w:r>
          </w:p>
          <w:p w14:paraId="4CB206BD" w14:textId="1D4CC746" w:rsidR="000F03CB" w:rsidRDefault="007119B9" w:rsidP="00DD452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Predict, a</w:t>
            </w:r>
            <w:r w:rsidR="00E45AC3">
              <w:rPr>
                <w:rFonts w:asciiTheme="minorHAnsi" w:hAnsiTheme="minorHAnsi" w:cstheme="minorHAnsi"/>
                <w:sz w:val="16"/>
                <w:szCs w:val="16"/>
              </w:rPr>
              <w:t>nalyse and assess</w:t>
            </w:r>
            <w:r w:rsidR="000F03CB">
              <w:rPr>
                <w:rFonts w:asciiTheme="minorHAnsi" w:hAnsiTheme="minorHAnsi" w:cstheme="minorHAnsi"/>
                <w:sz w:val="16"/>
                <w:szCs w:val="16"/>
              </w:rPr>
              <w:t xml:space="preserve"> the</w:t>
            </w:r>
          </w:p>
          <w:p w14:paraId="60F612E9" w14:textId="1279B898" w:rsidR="000F03CB" w:rsidRDefault="00E45AC3" w:rsidP="00DD452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risk impacts of strategic business options</w:t>
            </w:r>
          </w:p>
          <w:p w14:paraId="15C0B44E" w14:textId="6D4E2AA3" w:rsidR="00E0320B" w:rsidRDefault="00E0320B" w:rsidP="00DD452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43F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legal and regulatory impact of external factors</w:t>
            </w:r>
          </w:p>
          <w:p w14:paraId="11C18B32" w14:textId="7DD2D5FE" w:rsidR="00687A0C" w:rsidRDefault="00687A0C" w:rsidP="00DD452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</w:pPr>
            <w:r w:rsidRPr="001843FE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w:t xml:space="preserve">Promote and embed a robust compliance and risk culture that emphasises commitment to internal controls, compliance and risk management </w:t>
            </w:r>
          </w:p>
          <w:p w14:paraId="1BF92AAE" w14:textId="70E2572F" w:rsidR="00432E97" w:rsidRPr="001843FE" w:rsidRDefault="00432E97" w:rsidP="00DD4526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1843F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>Handling ad hoc queries from the business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1843F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>and managing contentious issues.</w:t>
            </w:r>
          </w:p>
          <w:p w14:paraId="732D69E0" w14:textId="77777777" w:rsidR="00DD0BA1" w:rsidRPr="001843FE" w:rsidRDefault="00DD0BA1" w:rsidP="00DD452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43FE">
              <w:rPr>
                <w:rFonts w:asciiTheme="minorHAnsi" w:hAnsiTheme="minorHAnsi" w:cstheme="minorHAnsi"/>
                <w:sz w:val="16"/>
                <w:szCs w:val="16"/>
              </w:rPr>
              <w:t>Identify proactive solutions that will eliminate or mitigate legal and regulatory risks</w:t>
            </w:r>
          </w:p>
          <w:p w14:paraId="5D7191BB" w14:textId="7EDAB03E" w:rsidR="00DD0BA1" w:rsidRPr="001843FE" w:rsidRDefault="00DD0BA1" w:rsidP="00DD4526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43FE">
              <w:rPr>
                <w:rFonts w:asciiTheme="minorHAnsi" w:hAnsiTheme="minorHAnsi" w:cstheme="minorHAnsi"/>
                <w:sz w:val="16"/>
                <w:szCs w:val="16"/>
              </w:rPr>
              <w:t>Base decision-making process</w:t>
            </w:r>
            <w:r w:rsidR="00D77336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r w:rsidRPr="001843FE">
              <w:rPr>
                <w:rFonts w:asciiTheme="minorHAnsi" w:hAnsiTheme="minorHAnsi" w:cstheme="minorHAnsi"/>
                <w:sz w:val="16"/>
                <w:szCs w:val="16"/>
              </w:rPr>
              <w:t xml:space="preserve"> on ethics and integrity</w:t>
            </w:r>
          </w:p>
          <w:p w14:paraId="1C686C15" w14:textId="77777777" w:rsidR="00051E60" w:rsidRPr="001843FE" w:rsidRDefault="00051E60" w:rsidP="006376A9">
            <w:pPr>
              <w:pStyle w:val="ListParagraph"/>
              <w:ind w:left="360"/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</w:pPr>
          </w:p>
          <w:p w14:paraId="6B8F6E7B" w14:textId="3634ADD2" w:rsidR="00AC6108" w:rsidRPr="00AF4500" w:rsidRDefault="00AB285A" w:rsidP="00DD452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AF4500">
              <w:rPr>
                <w:rFonts w:asciiTheme="minorHAnsi" w:hAnsiTheme="minorHAnsi" w:cstheme="minorHAnsi"/>
                <w:sz w:val="16"/>
                <w:szCs w:val="16"/>
              </w:rPr>
              <w:t>Build productive and sustainable relationships with regulators</w:t>
            </w:r>
            <w:r w:rsidR="00E0320B" w:rsidRPr="00AF4500">
              <w:rPr>
                <w:rFonts w:asciiTheme="minorHAnsi" w:hAnsiTheme="minorHAnsi" w:cstheme="minorHAnsi"/>
                <w:sz w:val="16"/>
                <w:szCs w:val="16"/>
              </w:rPr>
              <w:t xml:space="preserve"> and external </w:t>
            </w:r>
            <w:r w:rsidR="00AF4500" w:rsidRPr="00AF4500">
              <w:rPr>
                <w:rFonts w:asciiTheme="minorHAnsi" w:hAnsiTheme="minorHAnsi" w:cstheme="minorHAnsi"/>
                <w:sz w:val="16"/>
                <w:szCs w:val="16"/>
              </w:rPr>
              <w:t xml:space="preserve">providers of </w:t>
            </w:r>
            <w:r w:rsidR="00E0320B" w:rsidRPr="00AF4500">
              <w:rPr>
                <w:rFonts w:asciiTheme="minorHAnsi" w:hAnsiTheme="minorHAnsi" w:cstheme="minorHAnsi"/>
                <w:sz w:val="16"/>
                <w:szCs w:val="16"/>
              </w:rPr>
              <w:t>assurance</w:t>
            </w:r>
            <w:r w:rsidR="00AC6108" w:rsidRPr="00AF4500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 xml:space="preserve"> to the company including the outsourced Internal Audit function, the Depositary, and the external auditors reporting on the Company’s control framework</w:t>
            </w:r>
          </w:p>
          <w:p w14:paraId="793B1B33" w14:textId="77777777" w:rsidR="00AC6108" w:rsidRDefault="00AC6108" w:rsidP="006376A9">
            <w:pPr>
              <w:pStyle w:val="ListParagraph"/>
              <w:spacing w:after="160" w:line="259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9AE6A4" w14:textId="29D34068" w:rsidR="003039B0" w:rsidRPr="006376A9" w:rsidRDefault="00AB285A" w:rsidP="00DD452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3039B0">
              <w:rPr>
                <w:rFonts w:asciiTheme="minorHAnsi" w:hAnsiTheme="minorHAnsi" w:cstheme="minorHAnsi"/>
                <w:sz w:val="16"/>
                <w:szCs w:val="16"/>
              </w:rPr>
              <w:t xml:space="preserve">As a </w:t>
            </w:r>
            <w:r w:rsidR="00951F06" w:rsidRPr="003039B0">
              <w:rPr>
                <w:rFonts w:asciiTheme="minorHAnsi" w:hAnsiTheme="minorHAnsi" w:cstheme="minorHAnsi"/>
                <w:sz w:val="16"/>
                <w:szCs w:val="16"/>
              </w:rPr>
              <w:t xml:space="preserve">core </w:t>
            </w:r>
            <w:r w:rsidRPr="003039B0">
              <w:rPr>
                <w:rFonts w:asciiTheme="minorHAnsi" w:hAnsiTheme="minorHAnsi" w:cstheme="minorHAnsi"/>
                <w:sz w:val="16"/>
                <w:szCs w:val="16"/>
              </w:rPr>
              <w:t xml:space="preserve">member of </w:t>
            </w:r>
            <w:r w:rsidR="00951F06" w:rsidRPr="003039B0">
              <w:rPr>
                <w:rFonts w:asciiTheme="minorHAnsi" w:hAnsiTheme="minorHAnsi" w:cstheme="minorHAnsi"/>
                <w:sz w:val="16"/>
                <w:szCs w:val="16"/>
              </w:rPr>
              <w:t>Exco,</w:t>
            </w:r>
            <w:r w:rsidRPr="003039B0">
              <w:rPr>
                <w:rFonts w:asciiTheme="minorHAnsi" w:hAnsiTheme="minorHAnsi" w:cstheme="minorHAnsi"/>
                <w:sz w:val="16"/>
                <w:szCs w:val="16"/>
              </w:rPr>
              <w:t xml:space="preserve"> contribute to the strategic </w:t>
            </w:r>
            <w:r w:rsidR="0083137B">
              <w:rPr>
                <w:rFonts w:asciiTheme="minorHAnsi" w:hAnsiTheme="minorHAnsi" w:cstheme="minorHAnsi"/>
                <w:sz w:val="16"/>
                <w:szCs w:val="16"/>
              </w:rPr>
              <w:t xml:space="preserve">and operational </w:t>
            </w:r>
            <w:r w:rsidRPr="003039B0">
              <w:rPr>
                <w:rFonts w:asciiTheme="minorHAnsi" w:hAnsiTheme="minorHAnsi" w:cstheme="minorHAnsi"/>
                <w:sz w:val="16"/>
                <w:szCs w:val="16"/>
              </w:rPr>
              <w:t>development of the Company</w:t>
            </w:r>
          </w:p>
          <w:p w14:paraId="618F0A7A" w14:textId="77777777" w:rsidR="003039B0" w:rsidRPr="006376A9" w:rsidRDefault="003039B0" w:rsidP="006376A9">
            <w:pPr>
              <w:pStyle w:val="ListParagrap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</w:pPr>
          </w:p>
          <w:p w14:paraId="3EDE859D" w14:textId="338DE8AA" w:rsidR="00700B44" w:rsidRPr="006376A9" w:rsidRDefault="00294285" w:rsidP="00DD4526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Contribute to the strategic business planning and budget</w:t>
            </w:r>
            <w:r w:rsidR="00085F53">
              <w:rPr>
                <w:rFonts w:asciiTheme="minorHAnsi" w:hAnsiTheme="minorHAnsi" w:cstheme="minorHAnsi"/>
                <w:sz w:val="16"/>
                <w:szCs w:val="16"/>
              </w:rPr>
              <w:t>ing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processes</w:t>
            </w:r>
          </w:p>
          <w:p w14:paraId="0DB35447" w14:textId="33D3AD5B" w:rsidR="00700B44" w:rsidRPr="001843FE" w:rsidRDefault="00700B44" w:rsidP="00DD4526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1843F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 xml:space="preserve">Managing </w:t>
            </w:r>
            <w:r w:rsidR="00DC0CE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 xml:space="preserve">the </w:t>
            </w:r>
            <w:r w:rsidR="00D462C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 xml:space="preserve">compliance, risk and </w:t>
            </w:r>
            <w:r w:rsidRPr="001843F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 xml:space="preserve">legal budget </w:t>
            </w:r>
            <w:r w:rsidR="00DC0CE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 xml:space="preserve">and optimising the balance </w:t>
            </w:r>
            <w:r w:rsidR="00235E2F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 xml:space="preserve">of work </w:t>
            </w:r>
            <w:r w:rsidR="00DC0CE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 xml:space="preserve">between the internal legal team and </w:t>
            </w:r>
            <w:r w:rsidRPr="001843F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>outside counsel</w:t>
            </w:r>
          </w:p>
          <w:p w14:paraId="1489215F" w14:textId="22386500" w:rsidR="00070366" w:rsidRPr="001843FE" w:rsidRDefault="00070366" w:rsidP="00DD4526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 xml:space="preserve">Responding </w:t>
            </w:r>
            <w:r w:rsidRPr="001843F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 xml:space="preserve">to </w:t>
            </w:r>
            <w:r w:rsidR="00EF6DB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 xml:space="preserve">government/industry </w:t>
            </w:r>
            <w:r w:rsidRPr="001843F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>consultations and proposed legislative change.</w:t>
            </w:r>
          </w:p>
          <w:p w14:paraId="64D5A9F3" w14:textId="51C311AC" w:rsidR="003039B0" w:rsidRPr="003039B0" w:rsidRDefault="003039B0" w:rsidP="00DD4526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3039B0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>Develop and provide training and legal and regulatory updates to the business on various areas of the law and regulatory matters.</w:t>
            </w:r>
          </w:p>
          <w:p w14:paraId="6A10BF0B" w14:textId="5A68A2CB" w:rsidR="00A45CED" w:rsidRDefault="00A45CED" w:rsidP="00DD4526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1843F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 xml:space="preserve">Draft and implement/update legal and regulatory policies and guidance across the </w:t>
            </w:r>
            <w:r w:rsidR="00056B0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>b</w:t>
            </w:r>
            <w:r w:rsidRPr="001843F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>usiness.</w:t>
            </w:r>
          </w:p>
          <w:p w14:paraId="6295203F" w14:textId="3FFE382D" w:rsidR="0012193F" w:rsidRDefault="0012193F" w:rsidP="0012193F">
            <w:pPr>
              <w:rPr>
                <w:rFonts w:ascii="DINRoundOT" w:hAnsi="DINRoundOT" w:cs="DINRoundOT"/>
                <w:noProof/>
                <w:color w:val="000000" w:themeColor="text1"/>
                <w:sz w:val="16"/>
                <w:szCs w:val="17"/>
              </w:rPr>
            </w:pPr>
            <w:r w:rsidRPr="0031740B">
              <w:rPr>
                <w:rFonts w:ascii="DINRoundOT" w:hAnsi="DINRoundOT" w:cs="DINRoundOT"/>
                <w:noProof/>
                <w:color w:val="000000" w:themeColor="text1"/>
                <w:sz w:val="16"/>
                <w:szCs w:val="17"/>
              </w:rPr>
              <w:t xml:space="preserve">The </w:t>
            </w:r>
            <w:r>
              <w:rPr>
                <w:rFonts w:ascii="DINRoundOT" w:hAnsi="DINRoundOT" w:cs="DINRoundOT"/>
                <w:noProof/>
                <w:color w:val="000000" w:themeColor="text1"/>
                <w:sz w:val="16"/>
                <w:szCs w:val="17"/>
              </w:rPr>
              <w:t>CR</w:t>
            </w:r>
            <w:r w:rsidR="000A0B71">
              <w:rPr>
                <w:rFonts w:ascii="DINRoundOT" w:hAnsi="DINRoundOT" w:cs="DINRoundOT"/>
                <w:noProof/>
                <w:color w:val="000000" w:themeColor="text1"/>
                <w:sz w:val="16"/>
                <w:szCs w:val="17"/>
              </w:rPr>
              <w:t>LCO</w:t>
            </w:r>
            <w:r w:rsidRPr="0031740B">
              <w:rPr>
                <w:rFonts w:ascii="DINRoundOT" w:hAnsi="DINRoundOT" w:cs="DINRoundOT"/>
                <w:noProof/>
                <w:color w:val="000000" w:themeColor="text1"/>
                <w:sz w:val="16"/>
                <w:szCs w:val="17"/>
              </w:rPr>
              <w:t xml:space="preserve"> will be an FCA Senior Manager (SMF16 &amp; SMF17) under the SMCR extension regime</w:t>
            </w:r>
            <w:r w:rsidR="000A0B71">
              <w:rPr>
                <w:rFonts w:ascii="DINRoundOT" w:hAnsi="DINRoundOT" w:cs="DINRoundOT"/>
                <w:noProof/>
                <w:color w:val="000000" w:themeColor="text1"/>
                <w:sz w:val="16"/>
                <w:szCs w:val="17"/>
              </w:rPr>
              <w:t>. This requires the C</w:t>
            </w:r>
            <w:r w:rsidR="00C30EC7">
              <w:rPr>
                <w:rFonts w:ascii="DINRoundOT" w:hAnsi="DINRoundOT" w:cs="DINRoundOT"/>
                <w:noProof/>
                <w:color w:val="000000" w:themeColor="text1"/>
                <w:sz w:val="16"/>
                <w:szCs w:val="17"/>
              </w:rPr>
              <w:t>LCR</w:t>
            </w:r>
            <w:r w:rsidR="000A0B71">
              <w:rPr>
                <w:rFonts w:ascii="DINRoundOT" w:hAnsi="DINRoundOT" w:cs="DINRoundOT"/>
                <w:noProof/>
                <w:color w:val="000000" w:themeColor="text1"/>
                <w:sz w:val="16"/>
                <w:szCs w:val="17"/>
              </w:rPr>
              <w:t>O</w:t>
            </w:r>
            <w:r w:rsidR="0026208B">
              <w:rPr>
                <w:rFonts w:ascii="DINRoundOT" w:hAnsi="DINRoundOT" w:cs="DINRoundOT"/>
                <w:noProof/>
                <w:color w:val="000000" w:themeColor="text1"/>
                <w:sz w:val="16"/>
                <w:szCs w:val="17"/>
              </w:rPr>
              <w:t xml:space="preserve"> </w:t>
            </w:r>
            <w:r w:rsidRPr="0031740B">
              <w:rPr>
                <w:rFonts w:ascii="DINRoundOT" w:hAnsi="DINRoundOT" w:cs="DINRoundOT"/>
                <w:noProof/>
                <w:color w:val="000000" w:themeColor="text1"/>
                <w:sz w:val="16"/>
                <w:szCs w:val="17"/>
              </w:rPr>
              <w:t>to ensure compliance with</w:t>
            </w:r>
            <w:r>
              <w:rPr>
                <w:rFonts w:ascii="DINRoundOT" w:hAnsi="DINRoundOT" w:cs="DINRoundOT"/>
                <w:noProof/>
                <w:color w:val="000000" w:themeColor="text1"/>
                <w:sz w:val="16"/>
                <w:szCs w:val="17"/>
              </w:rPr>
              <w:t xml:space="preserve"> </w:t>
            </w:r>
            <w:r w:rsidRPr="007469E9">
              <w:rPr>
                <w:rFonts w:ascii="DINRoundOT" w:hAnsi="DINRoundOT" w:cs="DINRoundOT"/>
                <w:noProof/>
                <w:color w:val="000000" w:themeColor="text1"/>
                <w:sz w:val="16"/>
                <w:szCs w:val="17"/>
              </w:rPr>
              <w:t>Section 66A(5) FSMA (misconduct) statutory duty of responsibility</w:t>
            </w:r>
            <w:r>
              <w:rPr>
                <w:rFonts w:ascii="DINRoundOT" w:hAnsi="DINRoundOT" w:cs="DINRoundOT"/>
                <w:noProof/>
                <w:color w:val="000000" w:themeColor="text1"/>
                <w:sz w:val="16"/>
                <w:szCs w:val="17"/>
              </w:rPr>
              <w:t xml:space="preserve">. </w:t>
            </w:r>
            <w:r w:rsidRPr="007469E9">
              <w:rPr>
                <w:rFonts w:ascii="DINRoundOT" w:hAnsi="DINRoundOT" w:cs="DINRoundOT"/>
                <w:noProof/>
                <w:color w:val="000000" w:themeColor="text1"/>
                <w:sz w:val="16"/>
                <w:szCs w:val="17"/>
              </w:rPr>
              <w:t>Prescribed Responsibilities</w:t>
            </w:r>
            <w:r w:rsidR="0026208B">
              <w:rPr>
                <w:rFonts w:ascii="DINRoundOT" w:hAnsi="DINRoundOT" w:cs="DINRoundOT"/>
                <w:noProof/>
                <w:color w:val="000000" w:themeColor="text1"/>
                <w:sz w:val="16"/>
                <w:szCs w:val="17"/>
              </w:rPr>
              <w:t xml:space="preserve"> are</w:t>
            </w:r>
            <w:r w:rsidRPr="007469E9">
              <w:rPr>
                <w:rFonts w:ascii="DINRoundOT" w:hAnsi="DINRoundOT" w:cs="DINRoundOT"/>
                <w:noProof/>
                <w:color w:val="000000" w:themeColor="text1"/>
                <w:sz w:val="16"/>
                <w:szCs w:val="17"/>
              </w:rPr>
              <w:t xml:space="preserve">: </w:t>
            </w:r>
          </w:p>
          <w:p w14:paraId="0E02F778" w14:textId="77777777" w:rsidR="0012193F" w:rsidRPr="007469E9" w:rsidRDefault="0012193F" w:rsidP="0012193F">
            <w:pPr>
              <w:rPr>
                <w:noProof/>
                <w:color w:val="000000" w:themeColor="text1"/>
              </w:rPr>
            </w:pPr>
          </w:p>
          <w:p w14:paraId="22DC5D42" w14:textId="59D64E49" w:rsidR="0012193F" w:rsidRPr="007469E9" w:rsidRDefault="0012193F" w:rsidP="00DD4526">
            <w:pPr>
              <w:pStyle w:val="ListParagraph"/>
              <w:numPr>
                <w:ilvl w:val="0"/>
                <w:numId w:val="5"/>
              </w:numPr>
              <w:rPr>
                <w:rFonts w:ascii="DINRoundOT" w:hAnsi="DINRoundOT" w:cs="DINRoundOT"/>
                <w:noProof/>
                <w:color w:val="000000" w:themeColor="text1"/>
                <w:sz w:val="16"/>
                <w:szCs w:val="17"/>
              </w:rPr>
            </w:pPr>
            <w:r w:rsidRPr="007469E9">
              <w:rPr>
                <w:rFonts w:ascii="DINRoundOT" w:hAnsi="DINRoundOT" w:cs="DINRoundOT"/>
                <w:noProof/>
                <w:color w:val="000000" w:themeColor="text1"/>
                <w:sz w:val="16"/>
                <w:szCs w:val="17"/>
              </w:rPr>
              <w:t xml:space="preserve">PR(b) Performance by the firm of its obligations under the Certification Regime </w:t>
            </w:r>
          </w:p>
          <w:p w14:paraId="7AF27C53" w14:textId="584979FE" w:rsidR="0012193F" w:rsidRPr="007469E9" w:rsidRDefault="0012193F" w:rsidP="00DD4526">
            <w:pPr>
              <w:pStyle w:val="ListParagraph"/>
              <w:numPr>
                <w:ilvl w:val="0"/>
                <w:numId w:val="5"/>
              </w:numPr>
              <w:rPr>
                <w:rFonts w:ascii="DINRoundOT" w:hAnsi="DINRoundOT" w:cs="DINRoundOT"/>
                <w:noProof/>
                <w:color w:val="000000" w:themeColor="text1"/>
                <w:sz w:val="16"/>
                <w:szCs w:val="17"/>
              </w:rPr>
            </w:pPr>
            <w:r w:rsidRPr="007469E9">
              <w:rPr>
                <w:rFonts w:ascii="DINRoundOT" w:hAnsi="DINRoundOT" w:cs="DINRoundOT"/>
                <w:noProof/>
                <w:color w:val="000000" w:themeColor="text1"/>
                <w:sz w:val="16"/>
                <w:szCs w:val="17"/>
              </w:rPr>
              <w:t xml:space="preserve">PR(b-1) Performance by the firm of its obligations in respect of notifications and training on the Conduct Rules </w:t>
            </w:r>
          </w:p>
          <w:p w14:paraId="439863B4" w14:textId="36E066D8" w:rsidR="0012193F" w:rsidRPr="007469E9" w:rsidRDefault="0012193F" w:rsidP="00DD4526">
            <w:pPr>
              <w:pStyle w:val="ListParagraph"/>
              <w:numPr>
                <w:ilvl w:val="0"/>
                <w:numId w:val="5"/>
              </w:numPr>
              <w:rPr>
                <w:rFonts w:ascii="DINRoundOT" w:hAnsi="DINRoundOT" w:cs="DINRoundOT"/>
                <w:noProof/>
                <w:color w:val="000000" w:themeColor="text1"/>
                <w:sz w:val="16"/>
                <w:szCs w:val="17"/>
              </w:rPr>
            </w:pPr>
            <w:r w:rsidRPr="007469E9">
              <w:rPr>
                <w:rFonts w:ascii="DINRoundOT" w:hAnsi="DINRoundOT" w:cs="DINRoundOT"/>
                <w:noProof/>
                <w:color w:val="000000" w:themeColor="text1"/>
                <w:sz w:val="16"/>
                <w:szCs w:val="17"/>
              </w:rPr>
              <w:t>PR(d) Responsibility for the firm’s policies and procedures for countering the risks that the firm might be used to further financial crime</w:t>
            </w:r>
          </w:p>
          <w:p w14:paraId="63A1384B" w14:textId="3DBB05D7" w:rsidR="008B09B3" w:rsidRPr="00C60306" w:rsidRDefault="0012193F" w:rsidP="00C60306">
            <w:pPr>
              <w:pStyle w:val="ListParagraph"/>
              <w:numPr>
                <w:ilvl w:val="0"/>
                <w:numId w:val="5"/>
              </w:numPr>
              <w:rPr>
                <w:rFonts w:ascii="DINRoundOT" w:hAnsi="DINRoundOT" w:cs="DINRoundOT"/>
                <w:noProof/>
                <w:color w:val="000000" w:themeColor="text1"/>
                <w:sz w:val="16"/>
                <w:szCs w:val="17"/>
              </w:rPr>
            </w:pPr>
            <w:r w:rsidRPr="007469E9">
              <w:rPr>
                <w:rFonts w:ascii="DINRoundOT" w:hAnsi="DINRoundOT" w:cs="DINRoundOT"/>
                <w:noProof/>
                <w:color w:val="000000" w:themeColor="text1"/>
                <w:sz w:val="16"/>
                <w:szCs w:val="17"/>
              </w:rPr>
              <w:t>Other responsibilities as stated in Section 3.4 (Other Responsibilities) and  Section 4 (Supplementary Infromation) in the Statement of Responsibilities</w:t>
            </w:r>
          </w:p>
        </w:tc>
        <w:tc>
          <w:tcPr>
            <w:tcW w:w="4092" w:type="dxa"/>
            <w:gridSpan w:val="2"/>
            <w:shd w:val="clear" w:color="auto" w:fill="auto"/>
          </w:tcPr>
          <w:p w14:paraId="3AF99154" w14:textId="52AA1314" w:rsidR="002A2501" w:rsidRPr="006B3B64" w:rsidRDefault="002040D1" w:rsidP="004909FB">
            <w:pPr>
              <w:pStyle w:val="Subtitle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6B3B64">
              <w:rPr>
                <w:rFonts w:cstheme="minorHAnsi"/>
                <w:b/>
                <w:color w:val="auto"/>
                <w:sz w:val="16"/>
                <w:szCs w:val="16"/>
              </w:rPr>
              <w:lastRenderedPageBreak/>
              <w:t>Skills/Knowledge</w:t>
            </w:r>
            <w:r w:rsidR="00561DFF" w:rsidRPr="006B3B64">
              <w:rPr>
                <w:rFonts w:cstheme="minorHAnsi"/>
                <w:b/>
                <w:color w:val="auto"/>
                <w:sz w:val="16"/>
                <w:szCs w:val="16"/>
              </w:rPr>
              <w:t>/Experience</w:t>
            </w:r>
            <w:r w:rsidR="002407EE" w:rsidRPr="006B3B64">
              <w:rPr>
                <w:rFonts w:cstheme="minorHAnsi"/>
                <w:b/>
                <w:color w:val="auto"/>
                <w:sz w:val="16"/>
                <w:szCs w:val="16"/>
              </w:rPr>
              <w:t>/Competence</w:t>
            </w:r>
            <w:r w:rsidR="00CF1102" w:rsidRPr="006B3B64">
              <w:rPr>
                <w:rFonts w:cstheme="minorHAnsi"/>
                <w:b/>
                <w:color w:val="auto"/>
                <w:sz w:val="16"/>
                <w:szCs w:val="16"/>
              </w:rPr>
              <w:t>:</w:t>
            </w:r>
          </w:p>
          <w:p w14:paraId="5CBBA21E" w14:textId="6F5BDBB5" w:rsidR="00CA108A" w:rsidRPr="006B3B64" w:rsidRDefault="0031740B" w:rsidP="00CA108A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3B64">
              <w:rPr>
                <w:rFonts w:asciiTheme="minorHAnsi" w:hAnsiTheme="minorHAnsi" w:cstheme="minorHAnsi"/>
                <w:sz w:val="16"/>
                <w:szCs w:val="16"/>
              </w:rPr>
              <w:t xml:space="preserve">Prior experience </w:t>
            </w:r>
            <w:r w:rsidR="009356CD" w:rsidRPr="006B3B64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r w:rsidR="00C06339" w:rsidRPr="006B3B64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6B3B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D8A6234" w14:textId="5DE8E8A9" w:rsidR="009E7CA4" w:rsidRPr="006B3B64" w:rsidRDefault="006D1E96" w:rsidP="00DD45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3B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31740B" w:rsidRPr="006B3B64">
              <w:rPr>
                <w:rFonts w:asciiTheme="minorHAnsi" w:hAnsiTheme="minorHAnsi" w:cstheme="minorHAnsi"/>
                <w:sz w:val="16"/>
                <w:szCs w:val="16"/>
              </w:rPr>
              <w:t xml:space="preserve">anaging </w:t>
            </w:r>
            <w:r w:rsidR="00BC6836" w:rsidRPr="006B3B64">
              <w:rPr>
                <w:rFonts w:asciiTheme="minorHAnsi" w:hAnsiTheme="minorHAnsi" w:cstheme="minorHAnsi"/>
                <w:sz w:val="16"/>
                <w:szCs w:val="16"/>
              </w:rPr>
              <w:t xml:space="preserve">risk, </w:t>
            </w:r>
            <w:r w:rsidR="0031740B" w:rsidRPr="006B3B64">
              <w:rPr>
                <w:rFonts w:asciiTheme="minorHAnsi" w:hAnsiTheme="minorHAnsi" w:cstheme="minorHAnsi"/>
                <w:sz w:val="16"/>
                <w:szCs w:val="16"/>
              </w:rPr>
              <w:t>legal</w:t>
            </w:r>
            <w:r w:rsidR="00BC6836" w:rsidRPr="006B3B64">
              <w:rPr>
                <w:rFonts w:asciiTheme="minorHAnsi" w:hAnsiTheme="minorHAnsi" w:cstheme="minorHAnsi"/>
                <w:sz w:val="16"/>
                <w:szCs w:val="16"/>
              </w:rPr>
              <w:t xml:space="preserve"> and </w:t>
            </w:r>
            <w:r w:rsidR="0031740B" w:rsidRPr="006B3B64">
              <w:rPr>
                <w:rFonts w:asciiTheme="minorHAnsi" w:hAnsiTheme="minorHAnsi" w:cstheme="minorHAnsi"/>
                <w:sz w:val="16"/>
                <w:szCs w:val="16"/>
              </w:rPr>
              <w:t>compliance</w:t>
            </w:r>
            <w:r w:rsidR="00BC6836" w:rsidRPr="006B3B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1740B" w:rsidRPr="006B3B64">
              <w:rPr>
                <w:rFonts w:asciiTheme="minorHAnsi" w:hAnsiTheme="minorHAnsi" w:cstheme="minorHAnsi"/>
                <w:sz w:val="16"/>
                <w:szCs w:val="16"/>
              </w:rPr>
              <w:t>functions</w:t>
            </w:r>
            <w:r w:rsidR="003B28AD" w:rsidRPr="006B3B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C6836" w:rsidRPr="006B3B64">
              <w:rPr>
                <w:rFonts w:asciiTheme="minorHAnsi" w:hAnsiTheme="minorHAnsi" w:cstheme="minorHAnsi"/>
                <w:sz w:val="16"/>
                <w:szCs w:val="16"/>
              </w:rPr>
              <w:t xml:space="preserve">within the </w:t>
            </w:r>
            <w:r w:rsidR="00CC5704" w:rsidRPr="006B3B64">
              <w:rPr>
                <w:rFonts w:asciiTheme="minorHAnsi" w:hAnsiTheme="minorHAnsi" w:cstheme="minorHAnsi"/>
                <w:sz w:val="16"/>
                <w:szCs w:val="16"/>
              </w:rPr>
              <w:t xml:space="preserve">UK institutional </w:t>
            </w:r>
            <w:r w:rsidR="00BC6836" w:rsidRPr="006B3B64">
              <w:rPr>
                <w:rFonts w:asciiTheme="minorHAnsi" w:hAnsiTheme="minorHAnsi" w:cstheme="minorHAnsi"/>
                <w:sz w:val="16"/>
                <w:szCs w:val="16"/>
              </w:rPr>
              <w:t xml:space="preserve">investment </w:t>
            </w:r>
            <w:r w:rsidR="00CC5704" w:rsidRPr="006B3B64">
              <w:rPr>
                <w:rFonts w:asciiTheme="minorHAnsi" w:hAnsiTheme="minorHAnsi" w:cstheme="minorHAnsi"/>
                <w:sz w:val="16"/>
                <w:szCs w:val="16"/>
              </w:rPr>
              <w:t xml:space="preserve">management industry. </w:t>
            </w:r>
          </w:p>
          <w:p w14:paraId="144E6A65" w14:textId="1D433425" w:rsidR="00CA108A" w:rsidRPr="006B3B64" w:rsidRDefault="006D1E96" w:rsidP="00DD45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3B64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CA108A" w:rsidRPr="006B3B64">
              <w:rPr>
                <w:rFonts w:asciiTheme="minorHAnsi" w:hAnsiTheme="minorHAnsi" w:cstheme="minorHAnsi"/>
                <w:sz w:val="16"/>
                <w:szCs w:val="16"/>
              </w:rPr>
              <w:t>ealing with financial regulators</w:t>
            </w:r>
            <w:r w:rsidR="006032A6" w:rsidRPr="006B3B64">
              <w:rPr>
                <w:rFonts w:asciiTheme="minorHAnsi" w:hAnsiTheme="minorHAnsi" w:cstheme="minorHAnsi"/>
                <w:sz w:val="16"/>
                <w:szCs w:val="16"/>
              </w:rPr>
              <w:t>, specifically the FCA.</w:t>
            </w:r>
          </w:p>
          <w:p w14:paraId="16E81CD7" w14:textId="30A865DD" w:rsidR="00EE26CC" w:rsidRPr="006B3B64" w:rsidRDefault="006D1E96" w:rsidP="00DD45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3B6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EE26CC" w:rsidRPr="006B3B64">
              <w:rPr>
                <w:rFonts w:asciiTheme="minorHAnsi" w:hAnsiTheme="minorHAnsi" w:cstheme="minorHAnsi"/>
                <w:sz w:val="16"/>
                <w:szCs w:val="16"/>
              </w:rPr>
              <w:t xml:space="preserve">mplementing an appropriate risk management framework in an </w:t>
            </w:r>
            <w:r w:rsidR="00D36DC4" w:rsidRPr="006B3B64">
              <w:rPr>
                <w:rFonts w:asciiTheme="minorHAnsi" w:hAnsiTheme="minorHAnsi" w:cstheme="minorHAnsi"/>
                <w:sz w:val="16"/>
                <w:szCs w:val="16"/>
              </w:rPr>
              <w:t>investment</w:t>
            </w:r>
            <w:r w:rsidR="00EE26CC" w:rsidRPr="006B3B64">
              <w:rPr>
                <w:rFonts w:asciiTheme="minorHAnsi" w:hAnsiTheme="minorHAnsi" w:cstheme="minorHAnsi"/>
                <w:sz w:val="16"/>
                <w:szCs w:val="16"/>
              </w:rPr>
              <w:t xml:space="preserve"> management context</w:t>
            </w:r>
          </w:p>
          <w:p w14:paraId="4D4C3FDE" w14:textId="693C60D0" w:rsidR="00727DB3" w:rsidRPr="006B3B64" w:rsidRDefault="006D1E96" w:rsidP="00DD45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3B64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727DB3" w:rsidRPr="006B3B64">
              <w:rPr>
                <w:rFonts w:asciiTheme="minorHAnsi" w:hAnsiTheme="minorHAnsi" w:cstheme="minorHAnsi"/>
                <w:sz w:val="16"/>
                <w:szCs w:val="16"/>
              </w:rPr>
              <w:t xml:space="preserve">eveloping </w:t>
            </w:r>
            <w:r w:rsidRPr="006B3B64">
              <w:rPr>
                <w:rFonts w:asciiTheme="minorHAnsi" w:hAnsiTheme="minorHAnsi" w:cstheme="minorHAnsi"/>
                <w:sz w:val="16"/>
                <w:szCs w:val="16"/>
              </w:rPr>
              <w:t xml:space="preserve">risk management, </w:t>
            </w:r>
            <w:r w:rsidR="00727DB3" w:rsidRPr="006B3B64">
              <w:rPr>
                <w:rFonts w:asciiTheme="minorHAnsi" w:hAnsiTheme="minorHAnsi" w:cstheme="minorHAnsi"/>
                <w:sz w:val="16"/>
                <w:szCs w:val="16"/>
              </w:rPr>
              <w:t>legal and regulatory strateg</w:t>
            </w:r>
            <w:r w:rsidRPr="006B3B64">
              <w:rPr>
                <w:rFonts w:asciiTheme="minorHAnsi" w:hAnsiTheme="minorHAnsi" w:cstheme="minorHAnsi"/>
                <w:sz w:val="16"/>
                <w:szCs w:val="16"/>
              </w:rPr>
              <w:t xml:space="preserve">ies and </w:t>
            </w:r>
            <w:r w:rsidR="00727DB3" w:rsidRPr="006B3B64">
              <w:rPr>
                <w:rFonts w:asciiTheme="minorHAnsi" w:hAnsiTheme="minorHAnsi" w:cstheme="minorHAnsi"/>
                <w:sz w:val="16"/>
                <w:szCs w:val="16"/>
              </w:rPr>
              <w:t>objectives</w:t>
            </w:r>
          </w:p>
          <w:p w14:paraId="1B09CF6D" w14:textId="5E8AA1BF" w:rsidR="00B078BB" w:rsidRPr="006B3B64" w:rsidRDefault="00A24868" w:rsidP="00DD45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3B64">
              <w:rPr>
                <w:rFonts w:asciiTheme="minorHAnsi" w:hAnsiTheme="minorHAnsi" w:cstheme="minorHAnsi"/>
                <w:sz w:val="16"/>
                <w:szCs w:val="16"/>
              </w:rPr>
              <w:t>Acting as a trusted adviser to the Board and p</w:t>
            </w:r>
            <w:r w:rsidR="00AC1C01" w:rsidRPr="006B3B64">
              <w:rPr>
                <w:rFonts w:asciiTheme="minorHAnsi" w:hAnsiTheme="minorHAnsi" w:cstheme="minorHAnsi"/>
                <w:sz w:val="16"/>
                <w:szCs w:val="16"/>
              </w:rPr>
              <w:t xml:space="preserve">roviding </w:t>
            </w:r>
            <w:r w:rsidR="009C14EC" w:rsidRPr="006B3B64">
              <w:rPr>
                <w:rFonts w:asciiTheme="minorHAnsi" w:hAnsiTheme="minorHAnsi" w:cstheme="minorHAnsi"/>
                <w:sz w:val="16"/>
                <w:szCs w:val="16"/>
              </w:rPr>
              <w:t>regular board level risk, compliance and legal reporting</w:t>
            </w:r>
          </w:p>
          <w:p w14:paraId="12392200" w14:textId="3DCB88C3" w:rsidR="008F30B2" w:rsidRPr="006B3B64" w:rsidRDefault="008F30B2" w:rsidP="00DD45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3B64">
              <w:rPr>
                <w:rFonts w:asciiTheme="minorHAnsi" w:hAnsiTheme="minorHAnsi" w:cstheme="minorHAnsi"/>
                <w:sz w:val="16"/>
                <w:szCs w:val="16"/>
              </w:rPr>
              <w:t xml:space="preserve">Operating as </w:t>
            </w:r>
            <w:r w:rsidR="00B215ED" w:rsidRPr="006B3B64">
              <w:rPr>
                <w:rFonts w:asciiTheme="minorHAnsi" w:hAnsiTheme="minorHAnsi" w:cstheme="minorHAnsi"/>
                <w:sz w:val="16"/>
                <w:szCs w:val="16"/>
              </w:rPr>
              <w:t>General Counsel in a business environment</w:t>
            </w:r>
          </w:p>
          <w:p w14:paraId="18D03BDB" w14:textId="774EDF5B" w:rsidR="00FD64CE" w:rsidRPr="00D32F5E" w:rsidRDefault="00FA12FE" w:rsidP="00D32F5E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3B64">
              <w:rPr>
                <w:rFonts w:asciiTheme="minorHAnsi" w:hAnsiTheme="minorHAnsi" w:cstheme="minorHAnsi"/>
                <w:sz w:val="16"/>
                <w:szCs w:val="16"/>
              </w:rPr>
              <w:t>Perform</w:t>
            </w:r>
            <w:r w:rsidR="004127DB" w:rsidRPr="006B3B64">
              <w:rPr>
                <w:rFonts w:asciiTheme="minorHAnsi" w:hAnsiTheme="minorHAnsi" w:cstheme="minorHAnsi"/>
                <w:sz w:val="16"/>
                <w:szCs w:val="16"/>
              </w:rPr>
              <w:t xml:space="preserve">ance of </w:t>
            </w:r>
            <w:r w:rsidRPr="006B3B64">
              <w:rPr>
                <w:rFonts w:asciiTheme="minorHAnsi" w:hAnsiTheme="minorHAnsi" w:cstheme="minorHAnsi"/>
                <w:sz w:val="16"/>
                <w:szCs w:val="16"/>
              </w:rPr>
              <w:t>SMF16 and SMF 17 roles under FCA SMCR regime</w:t>
            </w:r>
          </w:p>
          <w:p w14:paraId="41FF7431" w14:textId="3399B4BF" w:rsidR="00203D1D" w:rsidRPr="006B3B64" w:rsidRDefault="009C14EC" w:rsidP="00203D1D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3B64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2B001C" w:rsidRPr="006B3B64">
              <w:rPr>
                <w:rFonts w:asciiTheme="minorHAnsi" w:hAnsiTheme="minorHAnsi" w:cstheme="minorHAnsi"/>
                <w:sz w:val="16"/>
                <w:szCs w:val="16"/>
              </w:rPr>
              <w:t>xpected knowledge:</w:t>
            </w:r>
          </w:p>
          <w:p w14:paraId="21B8E04C" w14:textId="656B582D" w:rsidR="00203D1D" w:rsidRPr="006B3B64" w:rsidRDefault="00203D1D" w:rsidP="00DD45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3B64">
              <w:rPr>
                <w:rFonts w:asciiTheme="minorHAnsi" w:hAnsiTheme="minorHAnsi" w:cstheme="minorHAnsi"/>
                <w:sz w:val="16"/>
                <w:szCs w:val="16"/>
              </w:rPr>
              <w:t>UK regulatory framework for financial/ asset management services</w:t>
            </w:r>
            <w:r w:rsidR="0029471E" w:rsidRPr="006B3B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032A6" w:rsidRPr="006B3B64">
              <w:rPr>
                <w:rFonts w:asciiTheme="minorHAnsi" w:hAnsiTheme="minorHAnsi" w:cstheme="minorHAnsi"/>
                <w:sz w:val="16"/>
                <w:szCs w:val="16"/>
              </w:rPr>
              <w:t xml:space="preserve">(specifically, the FCA Handbook) </w:t>
            </w:r>
            <w:r w:rsidR="0029471E" w:rsidRPr="006B3B64">
              <w:rPr>
                <w:rFonts w:asciiTheme="minorHAnsi" w:hAnsiTheme="minorHAnsi" w:cstheme="minorHAnsi"/>
                <w:sz w:val="16"/>
                <w:szCs w:val="16"/>
              </w:rPr>
              <w:t xml:space="preserve">and an understanding of how legal and regulatory issues affect </w:t>
            </w:r>
            <w:r w:rsidR="007E282E" w:rsidRPr="006B3B64">
              <w:rPr>
                <w:rFonts w:asciiTheme="minorHAnsi" w:hAnsiTheme="minorHAnsi" w:cstheme="minorHAnsi"/>
                <w:sz w:val="16"/>
                <w:szCs w:val="16"/>
              </w:rPr>
              <w:t xml:space="preserve">financial services </w:t>
            </w:r>
            <w:r w:rsidR="0029471E" w:rsidRPr="006B3B64">
              <w:rPr>
                <w:rFonts w:asciiTheme="minorHAnsi" w:hAnsiTheme="minorHAnsi" w:cstheme="minorHAnsi"/>
                <w:sz w:val="16"/>
                <w:szCs w:val="16"/>
              </w:rPr>
              <w:t>organisations</w:t>
            </w:r>
          </w:p>
          <w:p w14:paraId="486CBDFB" w14:textId="77777777" w:rsidR="00E218EA" w:rsidRPr="006B3B64" w:rsidRDefault="00E218EA" w:rsidP="00DD45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3B64">
              <w:rPr>
                <w:rFonts w:asciiTheme="minorHAnsi" w:hAnsiTheme="minorHAnsi" w:cstheme="minorHAnsi"/>
                <w:sz w:val="16"/>
                <w:szCs w:val="16"/>
              </w:rPr>
              <w:t xml:space="preserve">In depth knowledge of regulatory reporting and notification requirements, including SUP 15 and </w:t>
            </w:r>
            <w:r w:rsidRPr="006B3B6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Principle 11, and experience of making notifications to regulators. </w:t>
            </w:r>
          </w:p>
          <w:p w14:paraId="0EC12785" w14:textId="77777777" w:rsidR="00E218EA" w:rsidRPr="006B3B64" w:rsidRDefault="00E218EA" w:rsidP="00DD45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3B64">
              <w:rPr>
                <w:rFonts w:asciiTheme="minorHAnsi" w:hAnsiTheme="minorHAnsi" w:cstheme="minorHAnsi"/>
                <w:sz w:val="16"/>
                <w:szCs w:val="16"/>
              </w:rPr>
              <w:t xml:space="preserve">In depth knowledge of the Proceeds of Crime Act “SAR” regime, and experience of acting as an MLRO or deputy MLRO. </w:t>
            </w:r>
          </w:p>
          <w:p w14:paraId="2315CAEC" w14:textId="1D1E0904" w:rsidR="00E218EA" w:rsidRPr="006B3B64" w:rsidRDefault="00E218EA" w:rsidP="002163DC">
            <w:pPr>
              <w:pStyle w:val="ListParagraph"/>
              <w:spacing w:after="160" w:line="259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167CA7" w14:textId="32E32A26" w:rsidR="00E218EA" w:rsidRPr="006B3B64" w:rsidRDefault="00E218EA" w:rsidP="00DD45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3B64">
              <w:rPr>
                <w:rFonts w:asciiTheme="minorHAnsi" w:hAnsiTheme="minorHAnsi" w:cstheme="minorHAnsi"/>
                <w:sz w:val="16"/>
                <w:szCs w:val="16"/>
              </w:rPr>
              <w:t>Capability to obtain and hold SMF/16 and SMF/17. The candidate must be “fit and proper”, in the firm’s view, to be put forward for FCA Approval to hold these function</w:t>
            </w:r>
            <w:r w:rsidR="002163DC" w:rsidRPr="006B3B64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6B3B64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77B8DFFE" w14:textId="77777777" w:rsidR="00E218EA" w:rsidRPr="006B3B64" w:rsidRDefault="00E218EA" w:rsidP="00DD45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3B64">
              <w:rPr>
                <w:rFonts w:asciiTheme="minorHAnsi" w:hAnsiTheme="minorHAnsi" w:cstheme="minorHAnsi"/>
                <w:sz w:val="16"/>
                <w:szCs w:val="16"/>
              </w:rPr>
              <w:t xml:space="preserve">Any offer of employment will be conditional on Regulatory Approval being granted to perform SMF/16 and SMF/17. </w:t>
            </w:r>
          </w:p>
          <w:p w14:paraId="39B60164" w14:textId="77777777" w:rsidR="000F2B93" w:rsidRPr="006B3B64" w:rsidRDefault="000F2B93" w:rsidP="00DD45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3B64">
              <w:rPr>
                <w:rFonts w:asciiTheme="minorHAnsi" w:hAnsiTheme="minorHAnsi" w:cstheme="minorHAnsi"/>
                <w:sz w:val="16"/>
                <w:szCs w:val="16"/>
              </w:rPr>
              <w:t>Legal and regulatory aspects of US and European financial markets</w:t>
            </w:r>
          </w:p>
          <w:p w14:paraId="5A10964D" w14:textId="77777777" w:rsidR="00536C14" w:rsidRPr="006B3B64" w:rsidRDefault="00DB6201" w:rsidP="00DD45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3B64">
              <w:rPr>
                <w:rFonts w:asciiTheme="minorHAnsi" w:hAnsiTheme="minorHAnsi" w:cstheme="minorHAnsi"/>
                <w:sz w:val="16"/>
                <w:szCs w:val="16"/>
              </w:rPr>
              <w:t xml:space="preserve">Legal and regulatory aspects </w:t>
            </w:r>
            <w:r w:rsidR="00536C14" w:rsidRPr="006B3B64">
              <w:rPr>
                <w:rFonts w:asciiTheme="minorHAnsi" w:hAnsiTheme="minorHAnsi" w:cstheme="minorHAnsi"/>
                <w:sz w:val="16"/>
                <w:szCs w:val="16"/>
              </w:rPr>
              <w:t>for the use of derivatives</w:t>
            </w:r>
          </w:p>
          <w:p w14:paraId="62F65E67" w14:textId="2DBFBF4C" w:rsidR="00602ED9" w:rsidRPr="00BF013B" w:rsidRDefault="007E6230" w:rsidP="008F30B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3B64">
              <w:rPr>
                <w:rFonts w:asciiTheme="minorHAnsi" w:hAnsiTheme="minorHAnsi" w:cstheme="minorHAnsi"/>
                <w:sz w:val="16"/>
                <w:szCs w:val="16"/>
              </w:rPr>
              <w:t>Financial institution, company, employment and tax laws and regulations</w:t>
            </w:r>
          </w:p>
          <w:p w14:paraId="3E3C1330" w14:textId="76562C82" w:rsidR="00203D1D" w:rsidRPr="006B3B64" w:rsidRDefault="009460BF" w:rsidP="006376A9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3B64">
              <w:rPr>
                <w:rFonts w:asciiTheme="minorHAnsi" w:hAnsiTheme="minorHAnsi" w:cstheme="minorHAnsi"/>
                <w:sz w:val="16"/>
                <w:szCs w:val="16"/>
              </w:rPr>
              <w:t>Competencies</w:t>
            </w:r>
          </w:p>
          <w:p w14:paraId="597A64A9" w14:textId="61E6DB8D" w:rsidR="00B6406D" w:rsidRPr="006B3B64" w:rsidRDefault="00FD64CE" w:rsidP="00DD45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3B6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B6406D" w:rsidRPr="006B3B64">
              <w:rPr>
                <w:rFonts w:asciiTheme="minorHAnsi" w:hAnsiTheme="minorHAnsi" w:cstheme="minorHAnsi"/>
                <w:sz w:val="16"/>
                <w:szCs w:val="16"/>
              </w:rPr>
              <w:t>perate with a high degree of professional ethics, integrity, and gravitas.</w:t>
            </w:r>
          </w:p>
          <w:p w14:paraId="25D64424" w14:textId="77777777" w:rsidR="00CC3B22" w:rsidRPr="006B3B64" w:rsidRDefault="00CC3B22" w:rsidP="00DD45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3B64">
              <w:rPr>
                <w:rFonts w:asciiTheme="minorHAnsi" w:hAnsiTheme="minorHAnsi" w:cstheme="minorHAnsi"/>
                <w:sz w:val="16"/>
                <w:szCs w:val="16"/>
              </w:rPr>
              <w:t>Ability to anticipate legal and regulatory issues or risks</w:t>
            </w:r>
          </w:p>
          <w:p w14:paraId="4EEFF460" w14:textId="473D1CF7" w:rsidR="00CC3B22" w:rsidRPr="006B3B64" w:rsidRDefault="00D026FD" w:rsidP="00DD45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3B64">
              <w:rPr>
                <w:rFonts w:asciiTheme="minorHAnsi" w:hAnsiTheme="minorHAnsi" w:cstheme="minorHAnsi"/>
                <w:sz w:val="16"/>
                <w:szCs w:val="16"/>
              </w:rPr>
              <w:t xml:space="preserve">First class interpersonal and communication skills and </w:t>
            </w:r>
            <w:r w:rsidR="00244498" w:rsidRPr="006B3B6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CC3B22" w:rsidRPr="006B3B64">
              <w:rPr>
                <w:rFonts w:asciiTheme="minorHAnsi" w:hAnsiTheme="minorHAnsi" w:cstheme="minorHAnsi"/>
                <w:sz w:val="16"/>
                <w:szCs w:val="16"/>
              </w:rPr>
              <w:t xml:space="preserve">bility to build relationships with internal and external </w:t>
            </w:r>
            <w:r w:rsidR="00244498" w:rsidRPr="006B3B64">
              <w:rPr>
                <w:rFonts w:asciiTheme="minorHAnsi" w:hAnsiTheme="minorHAnsi" w:cstheme="minorHAnsi"/>
                <w:sz w:val="16"/>
                <w:szCs w:val="16"/>
              </w:rPr>
              <w:t>stakeholders</w:t>
            </w:r>
          </w:p>
          <w:p w14:paraId="158B4CA2" w14:textId="77777777" w:rsidR="00CC3B22" w:rsidRPr="006B3B64" w:rsidRDefault="00CC3B22" w:rsidP="00DD45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3B64">
              <w:rPr>
                <w:rFonts w:asciiTheme="minorHAnsi" w:hAnsiTheme="minorHAnsi" w:cstheme="minorHAnsi"/>
                <w:sz w:val="16"/>
                <w:szCs w:val="16"/>
              </w:rPr>
              <w:t>Excellent judgement and analytical skills</w:t>
            </w:r>
          </w:p>
          <w:p w14:paraId="4DDCCBE4" w14:textId="77777777" w:rsidR="005D32C8" w:rsidRPr="006B3B64" w:rsidRDefault="00C4022F" w:rsidP="00DD45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3B64">
              <w:rPr>
                <w:rFonts w:asciiTheme="minorHAnsi" w:hAnsiTheme="minorHAnsi" w:cstheme="minorHAnsi"/>
                <w:sz w:val="16"/>
                <w:szCs w:val="16"/>
              </w:rPr>
              <w:t>Demonstrable influencing skills which will ensure embedding an appropriate conduct culture</w:t>
            </w:r>
            <w:r w:rsidR="005D32C8" w:rsidRPr="006B3B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255F45E2" w14:textId="7A2A4E61" w:rsidR="00C4022F" w:rsidRPr="006B3B64" w:rsidRDefault="00244498" w:rsidP="00DD45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3B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>Ability to w</w:t>
            </w:r>
            <w:r w:rsidR="005D32C8" w:rsidRPr="006B3B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>ork with a high degree of independence and autonomy</w:t>
            </w:r>
          </w:p>
          <w:p w14:paraId="58E5F8AE" w14:textId="77777777" w:rsidR="00745D4F" w:rsidRPr="006B3B64" w:rsidRDefault="00745D4F" w:rsidP="006376A9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9FFD5E" w14:textId="77777777" w:rsidR="00BF013B" w:rsidRDefault="14C788B1" w:rsidP="00BF013B">
            <w:pPr>
              <w:pStyle w:val="Subtitle"/>
              <w:rPr>
                <w:rFonts w:cstheme="minorHAnsi"/>
                <w:b/>
                <w:bCs/>
                <w:color w:val="auto"/>
                <w:sz w:val="16"/>
                <w:szCs w:val="16"/>
              </w:rPr>
            </w:pPr>
            <w:r w:rsidRPr="006B3B64">
              <w:rPr>
                <w:rFonts w:cstheme="minorHAnsi"/>
                <w:b/>
                <w:bCs/>
                <w:color w:val="auto"/>
                <w:sz w:val="16"/>
                <w:szCs w:val="16"/>
              </w:rPr>
              <w:t>Qualifications:</w:t>
            </w:r>
          </w:p>
          <w:p w14:paraId="7E98A2A3" w14:textId="08380EE4" w:rsidR="006549D8" w:rsidRPr="00C60306" w:rsidRDefault="00BF013B" w:rsidP="00BF013B">
            <w:pPr>
              <w:pStyle w:val="Subtitle"/>
              <w:numPr>
                <w:ilvl w:val="0"/>
                <w:numId w:val="8"/>
              </w:numPr>
              <w:rPr>
                <w:rFonts w:cstheme="minorHAnsi"/>
                <w:color w:val="auto"/>
                <w:sz w:val="16"/>
                <w:szCs w:val="16"/>
              </w:rPr>
            </w:pPr>
            <w:r w:rsidRPr="00C60306">
              <w:rPr>
                <w:rFonts w:cstheme="minorHAnsi"/>
                <w:sz w:val="16"/>
                <w:szCs w:val="16"/>
              </w:rPr>
              <w:t xml:space="preserve">Legal qualifications/ </w:t>
            </w:r>
            <w:r w:rsidR="002B001C" w:rsidRPr="00C60306">
              <w:rPr>
                <w:rFonts w:cstheme="minorHAnsi"/>
                <w:sz w:val="16"/>
                <w:szCs w:val="16"/>
              </w:rPr>
              <w:t>Must be a practising lawyer, qualified solicitor or barrister with broad experience in all asset management investment classes, particularly in collective investment funds, property and alternatives</w:t>
            </w:r>
            <w:r w:rsidR="006549D8" w:rsidRPr="00C60306"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40A4313D" w14:textId="77777777" w:rsidR="006549D8" w:rsidRPr="006B3B64" w:rsidRDefault="006549D8" w:rsidP="002163DC">
            <w:pPr>
              <w:pStyle w:val="List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56A5A1" w14:textId="3FEC8D86" w:rsidR="002B001C" w:rsidRPr="006B3B64" w:rsidRDefault="006549D8" w:rsidP="00DD45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B3B64">
              <w:rPr>
                <w:rFonts w:asciiTheme="minorHAnsi" w:hAnsiTheme="minorHAnsi" w:cstheme="minorHAnsi"/>
                <w:sz w:val="16"/>
                <w:szCs w:val="16"/>
              </w:rPr>
              <w:t xml:space="preserve">Must hold, or be able to obtain, a </w:t>
            </w:r>
            <w:r w:rsidR="006032A6" w:rsidRPr="006B3B64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="006032A6" w:rsidRPr="006B3B64">
              <w:rPr>
                <w:rFonts w:asciiTheme="minorHAnsi" w:eastAsiaTheme="minorEastAsia" w:hAnsiTheme="minorHAnsi" w:cstheme="minorHAnsi"/>
                <w:sz w:val="16"/>
                <w:szCs w:val="16"/>
              </w:rPr>
              <w:t>alid and current Practising Certificate from the SRA or BSB (or the ability to obtain one).</w:t>
            </w:r>
          </w:p>
          <w:p w14:paraId="7ED650AA" w14:textId="77777777" w:rsidR="008B09B3" w:rsidRPr="006B3B64" w:rsidRDefault="008B09B3" w:rsidP="008B0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819C94" w14:textId="77777777" w:rsidR="008B09B3" w:rsidRPr="006B3B64" w:rsidRDefault="008B09B3" w:rsidP="008B0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6030E6" w14:textId="4440CCB5" w:rsidR="008B09B3" w:rsidRPr="006B3B64" w:rsidRDefault="008B09B3" w:rsidP="008B09B3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9020A7" w14:textId="062664CD" w:rsidR="008B09B3" w:rsidRPr="006B3B64" w:rsidRDefault="008B09B3" w:rsidP="006376A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C42516E" w14:textId="77777777" w:rsidR="00DD4526" w:rsidRPr="00153F18" w:rsidRDefault="00DD4526" w:rsidP="00DD4526">
            <w:pPr>
              <w:pStyle w:val="paragrap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153F18">
              <w:rPr>
                <w:rStyle w:val="normaltextrun1"/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Values:</w:t>
            </w:r>
            <w:r w:rsidRPr="00153F1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73AA355" w14:textId="77777777" w:rsidR="00DD4526" w:rsidRPr="00153F18" w:rsidRDefault="00DD4526" w:rsidP="00DD4526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153F18">
              <w:rPr>
                <w:rStyle w:val="normaltextrun1"/>
                <w:rFonts w:ascii="Calibri" w:hAnsi="Calibri" w:cs="Calibri"/>
                <w:sz w:val="16"/>
                <w:szCs w:val="16"/>
              </w:rPr>
              <w:t>We are a great place to work</w:t>
            </w:r>
          </w:p>
          <w:p w14:paraId="5F98BA76" w14:textId="77777777" w:rsidR="00DD4526" w:rsidRPr="00153F18" w:rsidRDefault="00DD4526" w:rsidP="00DD4526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153F18">
              <w:rPr>
                <w:rStyle w:val="normaltextrun1"/>
                <w:rFonts w:ascii="Calibri" w:hAnsi="Calibri" w:cs="Calibri"/>
                <w:sz w:val="16"/>
                <w:szCs w:val="16"/>
              </w:rPr>
              <w:t>We are Client Focus</w:t>
            </w:r>
            <w:r w:rsidRPr="00153F18">
              <w:rPr>
                <w:rStyle w:val="eop"/>
                <w:rFonts w:ascii="Calibri" w:hAnsi="Calibri" w:cs="Calibri"/>
                <w:sz w:val="16"/>
                <w:szCs w:val="16"/>
              </w:rPr>
              <w:t> ed</w:t>
            </w:r>
          </w:p>
          <w:p w14:paraId="01361EC2" w14:textId="77777777" w:rsidR="00DD4526" w:rsidRPr="00153F18" w:rsidRDefault="00DD4526" w:rsidP="00DD4526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1"/>
                <w:rFonts w:ascii="Calibri" w:hAnsi="Calibri" w:cs="Calibri"/>
                <w:sz w:val="16"/>
                <w:szCs w:val="16"/>
              </w:rPr>
            </w:pPr>
            <w:r w:rsidRPr="00153F18">
              <w:rPr>
                <w:rStyle w:val="normaltextrun1"/>
                <w:rFonts w:ascii="Calibri" w:hAnsi="Calibri" w:cs="Calibri"/>
                <w:sz w:val="16"/>
                <w:szCs w:val="16"/>
              </w:rPr>
              <w:t>We are Inclusive</w:t>
            </w:r>
          </w:p>
          <w:p w14:paraId="14469C72" w14:textId="77777777" w:rsidR="00DD4526" w:rsidRPr="00153F18" w:rsidRDefault="00DD4526" w:rsidP="00DD4526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1"/>
                <w:rFonts w:ascii="Calibri" w:hAnsi="Calibri" w:cs="Calibri"/>
                <w:sz w:val="16"/>
                <w:szCs w:val="16"/>
              </w:rPr>
            </w:pPr>
            <w:r w:rsidRPr="00153F18">
              <w:rPr>
                <w:rStyle w:val="normaltextrun1"/>
                <w:rFonts w:ascii="Calibri" w:hAnsi="Calibri" w:cs="Calibri"/>
                <w:sz w:val="16"/>
                <w:szCs w:val="16"/>
              </w:rPr>
              <w:t>We are Ambitious</w:t>
            </w:r>
          </w:p>
          <w:p w14:paraId="73EC7C15" w14:textId="77777777" w:rsidR="00DD4526" w:rsidRPr="00153F18" w:rsidRDefault="00DD4526" w:rsidP="00DD452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  <w:p w14:paraId="52611F96" w14:textId="77777777" w:rsidR="00DD4526" w:rsidRPr="00153F18" w:rsidRDefault="00DD4526" w:rsidP="00DD452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153F18">
              <w:rPr>
                <w:rFonts w:ascii="Calibri" w:hAnsi="Calibri" w:cs="Calibri"/>
                <w:b/>
                <w:sz w:val="16"/>
                <w:szCs w:val="16"/>
              </w:rPr>
              <w:t>Behaviours</w:t>
            </w:r>
          </w:p>
          <w:p w14:paraId="73059994" w14:textId="77777777" w:rsidR="00DD4526" w:rsidRPr="00153F18" w:rsidRDefault="00DD4526" w:rsidP="00DD452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normaltextrun1"/>
                <w:rFonts w:ascii="Calibri" w:hAnsi="Calibri" w:cs="Calibri"/>
                <w:sz w:val="16"/>
                <w:szCs w:val="16"/>
              </w:rPr>
            </w:pPr>
            <w:r w:rsidRPr="00153F18">
              <w:rPr>
                <w:rStyle w:val="normaltextrun1"/>
                <w:rFonts w:ascii="Calibri" w:hAnsi="Calibri" w:cs="Calibri"/>
                <w:sz w:val="16"/>
                <w:szCs w:val="16"/>
              </w:rPr>
              <w:t xml:space="preserve">Open, fair and transparent, acting with </w:t>
            </w:r>
            <w:r>
              <w:rPr>
                <w:rStyle w:val="normaltextrun1"/>
                <w:rFonts w:ascii="Calibri" w:hAnsi="Calibri" w:cs="Calibri"/>
                <w:sz w:val="16"/>
                <w:szCs w:val="16"/>
              </w:rPr>
              <w:t>i</w:t>
            </w:r>
            <w:r w:rsidRPr="00153F18">
              <w:rPr>
                <w:rStyle w:val="normaltextrun1"/>
                <w:rFonts w:ascii="Calibri" w:hAnsi="Calibri" w:cs="Calibri"/>
                <w:sz w:val="16"/>
                <w:szCs w:val="16"/>
              </w:rPr>
              <w:t>ntegrity.</w:t>
            </w:r>
          </w:p>
          <w:p w14:paraId="38E1A5AC" w14:textId="77777777" w:rsidR="00DD4526" w:rsidRPr="00153F18" w:rsidRDefault="00DD4526" w:rsidP="00DD452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153F18">
              <w:rPr>
                <w:rStyle w:val="eop"/>
                <w:rFonts w:ascii="Calibri" w:hAnsi="Calibri" w:cs="Calibri"/>
                <w:sz w:val="16"/>
                <w:szCs w:val="16"/>
              </w:rPr>
              <w:t xml:space="preserve">Doing the right thing. </w:t>
            </w:r>
          </w:p>
          <w:p w14:paraId="439D8855" w14:textId="77777777" w:rsidR="00DD4526" w:rsidRPr="00153F18" w:rsidRDefault="00DD4526" w:rsidP="00DD452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153F18">
              <w:rPr>
                <w:rStyle w:val="normaltextrun1"/>
                <w:rFonts w:ascii="Calibri" w:hAnsi="Calibri" w:cs="Calibri"/>
                <w:sz w:val="16"/>
                <w:szCs w:val="16"/>
              </w:rPr>
              <w:t>Honest and trustworthy</w:t>
            </w:r>
            <w:r w:rsidRPr="00153F1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D83FE59" w14:textId="77777777" w:rsidR="00DD4526" w:rsidRPr="00153F18" w:rsidRDefault="00DD4526" w:rsidP="00DD452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00153F18">
              <w:rPr>
                <w:rStyle w:val="normaltextrun1"/>
                <w:rFonts w:ascii="Calibri" w:hAnsi="Calibri" w:cs="Calibri"/>
                <w:sz w:val="16"/>
                <w:szCs w:val="16"/>
              </w:rPr>
              <w:t>Empowered in making right decisions</w:t>
            </w:r>
            <w:r w:rsidRPr="00153F18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BC14B2A" w14:textId="77777777" w:rsidR="00DD4526" w:rsidRPr="00153F18" w:rsidRDefault="00DD4526" w:rsidP="00DD452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00153F18">
              <w:rPr>
                <w:rStyle w:val="eop"/>
                <w:rFonts w:ascii="Calibri" w:hAnsi="Calibri" w:cs="Calibri"/>
                <w:sz w:val="16"/>
                <w:szCs w:val="16"/>
              </w:rPr>
              <w:t>Collegiate and Collaborative.</w:t>
            </w:r>
          </w:p>
          <w:p w14:paraId="616D51E3" w14:textId="77777777" w:rsidR="00DD4526" w:rsidRPr="00153F18" w:rsidRDefault="00DD4526" w:rsidP="00DD452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00153F18">
              <w:rPr>
                <w:rStyle w:val="eop"/>
                <w:rFonts w:ascii="Calibri" w:hAnsi="Calibri" w:cs="Calibri"/>
                <w:sz w:val="16"/>
                <w:szCs w:val="16"/>
              </w:rPr>
              <w:t xml:space="preserve">Valuing and treating everyone equally. </w:t>
            </w:r>
          </w:p>
          <w:p w14:paraId="39EB642E" w14:textId="77777777" w:rsidR="00DD4526" w:rsidRPr="00153F18" w:rsidRDefault="00DD4526" w:rsidP="00DD452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00153F18">
              <w:rPr>
                <w:rStyle w:val="eop"/>
                <w:rFonts w:ascii="Calibri" w:hAnsi="Calibri" w:cs="Calibri"/>
                <w:sz w:val="16"/>
                <w:szCs w:val="16"/>
              </w:rPr>
              <w:t xml:space="preserve">Listening to individual ideas to support growth. </w:t>
            </w:r>
          </w:p>
          <w:p w14:paraId="166F1613" w14:textId="27DB9062" w:rsidR="00DD4526" w:rsidRDefault="00DD4526" w:rsidP="00DD452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153F18">
              <w:rPr>
                <w:rStyle w:val="eop"/>
                <w:rFonts w:ascii="Calibri" w:hAnsi="Calibri" w:cs="Calibri"/>
                <w:sz w:val="16"/>
                <w:szCs w:val="16"/>
              </w:rPr>
              <w:t xml:space="preserve">Constructively challenging the status quo.  </w:t>
            </w:r>
            <w:r w:rsidRPr="00153F18">
              <w:rPr>
                <w:rStyle w:val="normaltextrun1"/>
                <w:rFonts w:ascii="Calibri" w:hAnsi="Calibri" w:cs="Calibri"/>
                <w:sz w:val="16"/>
                <w:szCs w:val="16"/>
              </w:rPr>
              <w:t xml:space="preserve">Accountability for results </w:t>
            </w:r>
            <w:r w:rsidRPr="00D32F5E">
              <w:rPr>
                <w:rStyle w:val="normaltextrun1"/>
                <w:rFonts w:asciiTheme="minorHAnsi" w:hAnsiTheme="minorHAnsi" w:cstheme="minorHAnsi"/>
                <w:sz w:val="16"/>
                <w:szCs w:val="16"/>
              </w:rPr>
              <w:t>and delivery</w:t>
            </w:r>
            <w:r w:rsidRPr="00D32F5E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D3ECFDA" w14:textId="6A4260EA" w:rsidR="00D32F5E" w:rsidRPr="00D32F5E" w:rsidRDefault="00D32F5E" w:rsidP="00DD452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 w:rsidRPr="00D32F5E">
              <w:rPr>
                <w:rStyle w:val="eop"/>
                <w:sz w:val="16"/>
                <w:szCs w:val="16"/>
              </w:rPr>
              <w:t>Friendly, honest and supportive</w:t>
            </w:r>
          </w:p>
          <w:p w14:paraId="0C9719BF" w14:textId="77777777" w:rsidR="004D034A" w:rsidRPr="001843FE" w:rsidRDefault="004D034A" w:rsidP="004909FB">
            <w:pPr>
              <w:pStyle w:val="Subtitle"/>
              <w:rPr>
                <w:rFonts w:cstheme="minorHAnsi"/>
                <w:color w:val="auto"/>
                <w:sz w:val="16"/>
                <w:szCs w:val="16"/>
              </w:rPr>
            </w:pPr>
          </w:p>
          <w:p w14:paraId="34C48B23" w14:textId="77777777" w:rsidR="005A0DC0" w:rsidRPr="001843FE" w:rsidRDefault="005A0DC0" w:rsidP="004909FB">
            <w:pPr>
              <w:pStyle w:val="Subtitle"/>
              <w:rPr>
                <w:rFonts w:cstheme="minorHAnsi"/>
                <w:color w:val="auto"/>
                <w:sz w:val="16"/>
                <w:szCs w:val="16"/>
              </w:rPr>
            </w:pPr>
          </w:p>
          <w:p w14:paraId="4962C624" w14:textId="77777777" w:rsidR="005A0DC0" w:rsidRPr="001843FE" w:rsidRDefault="005A0DC0" w:rsidP="004909FB">
            <w:pPr>
              <w:pStyle w:val="Subtitle"/>
              <w:rPr>
                <w:rFonts w:cstheme="minorHAnsi"/>
                <w:color w:val="auto"/>
                <w:sz w:val="16"/>
                <w:szCs w:val="16"/>
              </w:rPr>
            </w:pPr>
          </w:p>
          <w:p w14:paraId="58347C65" w14:textId="77777777" w:rsidR="00557BC5" w:rsidRPr="001843FE" w:rsidRDefault="00557BC5" w:rsidP="004909FB">
            <w:pPr>
              <w:pStyle w:val="Subtitle"/>
              <w:rPr>
                <w:rFonts w:cstheme="minorHAnsi"/>
                <w:color w:val="auto"/>
                <w:sz w:val="16"/>
                <w:szCs w:val="16"/>
              </w:rPr>
            </w:pPr>
          </w:p>
          <w:p w14:paraId="58BBEB02" w14:textId="77777777" w:rsidR="00884DCA" w:rsidRPr="001843FE" w:rsidRDefault="00884DCA" w:rsidP="004909FB">
            <w:pPr>
              <w:pStyle w:val="Subtitle"/>
              <w:rPr>
                <w:rFonts w:cstheme="minorHAnsi"/>
                <w:color w:val="auto"/>
                <w:sz w:val="16"/>
                <w:szCs w:val="16"/>
              </w:rPr>
            </w:pPr>
          </w:p>
        </w:tc>
      </w:tr>
    </w:tbl>
    <w:p w14:paraId="4D88AF1E" w14:textId="77777777" w:rsidR="00177F90" w:rsidRPr="001843FE" w:rsidRDefault="00177F90" w:rsidP="006B2B71">
      <w:pPr>
        <w:pStyle w:val="paragraph"/>
        <w:spacing w:before="0" w:beforeAutospacing="0" w:after="0" w:afterAutospacing="0"/>
        <w:ind w:left="-993"/>
        <w:textAlignment w:val="baseline"/>
        <w:rPr>
          <w:rStyle w:val="normaltextrun"/>
          <w:rFonts w:asciiTheme="minorHAnsi" w:hAnsiTheme="minorHAnsi" w:cstheme="minorHAnsi"/>
          <w:color w:val="000000"/>
          <w:sz w:val="16"/>
          <w:szCs w:val="16"/>
        </w:rPr>
      </w:pPr>
    </w:p>
    <w:sectPr w:rsidR="00177F90" w:rsidRPr="001843FE" w:rsidSect="000A4D99">
      <w:headerReference w:type="default" r:id="rId8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8600A" w14:textId="77777777" w:rsidR="00C940CB" w:rsidRDefault="00C940CB">
      <w:r>
        <w:separator/>
      </w:r>
    </w:p>
  </w:endnote>
  <w:endnote w:type="continuationSeparator" w:id="0">
    <w:p w14:paraId="0D0B9D40" w14:textId="77777777" w:rsidR="00C940CB" w:rsidRDefault="00C9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RoundOT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31D71" w14:textId="77777777" w:rsidR="00C940CB" w:rsidRDefault="00C940CB">
      <w:r>
        <w:separator/>
      </w:r>
    </w:p>
  </w:footnote>
  <w:footnote w:type="continuationSeparator" w:id="0">
    <w:p w14:paraId="50FCCE15" w14:textId="77777777" w:rsidR="00C940CB" w:rsidRDefault="00C9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B58A5" w14:textId="46614B62" w:rsidR="00EC47D3" w:rsidRDefault="00EC47D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9899A92" wp14:editId="496A91C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3efc4b14ab3fe26596b95775" descr="{&quot;HashCode&quot;:-124442312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B8EFCF" w14:textId="632960E3" w:rsidR="00EC47D3" w:rsidRPr="00EC47D3" w:rsidRDefault="00EC47D3" w:rsidP="00EC47D3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EC47D3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899A92" id="_x0000_t202" coordsize="21600,21600" o:spt="202" path="m,l,21600r21600,l21600,xe">
              <v:stroke joinstyle="miter"/>
              <v:path gradientshapeok="t" o:connecttype="rect"/>
            </v:shapetype>
            <v:shape id="MSIPCM3efc4b14ab3fe26596b95775" o:spid="_x0000_s1026" type="#_x0000_t202" alt="{&quot;HashCode&quot;:-1244423123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" o:allowincell="f" filled="f" stroked="f" strokeweight=".5pt">
              <v:textbox inset="20pt,0,,0">
                <w:txbxContent>
                  <w:p w14:paraId="67B8EFCF" w14:textId="632960E3" w:rsidR="00EC47D3" w:rsidRPr="00EC47D3" w:rsidRDefault="00EC47D3" w:rsidP="00EC47D3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EC47D3">
                      <w:rPr>
                        <w:rFonts w:ascii="Calibri" w:hAnsi="Calibri" w:cs="Calibri"/>
                        <w:color w:val="000000"/>
                        <w:sz w:val="22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07D95"/>
    <w:multiLevelType w:val="hybridMultilevel"/>
    <w:tmpl w:val="42B8F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E2196"/>
    <w:multiLevelType w:val="hybridMultilevel"/>
    <w:tmpl w:val="437C6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978BA"/>
    <w:multiLevelType w:val="hybridMultilevel"/>
    <w:tmpl w:val="7944B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C74742"/>
    <w:multiLevelType w:val="hybridMultilevel"/>
    <w:tmpl w:val="E108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F12C6"/>
    <w:multiLevelType w:val="multilevel"/>
    <w:tmpl w:val="5718C5D6"/>
    <w:styleLink w:val="HayGroupBulletlist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203B71"/>
        <w:sz w:val="28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AE6BE7"/>
    <w:multiLevelType w:val="hybridMultilevel"/>
    <w:tmpl w:val="7F8CC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9C710D"/>
    <w:multiLevelType w:val="hybridMultilevel"/>
    <w:tmpl w:val="D0FE3D28"/>
    <w:lvl w:ilvl="0" w:tplc="096E060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326D4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37C766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F70FDE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64C8BD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BEC2CE4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472706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F9EEFB6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B6B0090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7CB8015D"/>
    <w:multiLevelType w:val="hybridMultilevel"/>
    <w:tmpl w:val="22849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FEE552">
      <w:numFmt w:val="bullet"/>
      <w:lvlText w:val="-"/>
      <w:lvlJc w:val="left"/>
      <w:pPr>
        <w:ind w:left="1080" w:hanging="360"/>
      </w:pPr>
      <w:rPr>
        <w:rFonts w:ascii="DINRoundOT" w:eastAsia="Times New Roman" w:hAnsi="DINRoundOT" w:cs="DINRoundOT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8E"/>
    <w:rsid w:val="0001128E"/>
    <w:rsid w:val="0001754E"/>
    <w:rsid w:val="00017C0A"/>
    <w:rsid w:val="000306EF"/>
    <w:rsid w:val="00031558"/>
    <w:rsid w:val="0003187C"/>
    <w:rsid w:val="0003350A"/>
    <w:rsid w:val="00037196"/>
    <w:rsid w:val="000457D0"/>
    <w:rsid w:val="000474D0"/>
    <w:rsid w:val="00047A7F"/>
    <w:rsid w:val="00051E60"/>
    <w:rsid w:val="000535A6"/>
    <w:rsid w:val="00056B0E"/>
    <w:rsid w:val="00060FC1"/>
    <w:rsid w:val="0006188A"/>
    <w:rsid w:val="00070366"/>
    <w:rsid w:val="000710E8"/>
    <w:rsid w:val="000816AC"/>
    <w:rsid w:val="00081892"/>
    <w:rsid w:val="00085949"/>
    <w:rsid w:val="00085F53"/>
    <w:rsid w:val="0009340B"/>
    <w:rsid w:val="000978C7"/>
    <w:rsid w:val="000A0B71"/>
    <w:rsid w:val="000A4D99"/>
    <w:rsid w:val="000C0050"/>
    <w:rsid w:val="000C0167"/>
    <w:rsid w:val="000C0E80"/>
    <w:rsid w:val="000C26CD"/>
    <w:rsid w:val="000D08DD"/>
    <w:rsid w:val="000D17A3"/>
    <w:rsid w:val="000D408B"/>
    <w:rsid w:val="000E0E7C"/>
    <w:rsid w:val="000F03CB"/>
    <w:rsid w:val="000F2B93"/>
    <w:rsid w:val="00110C48"/>
    <w:rsid w:val="00114DBE"/>
    <w:rsid w:val="00116514"/>
    <w:rsid w:val="0012082E"/>
    <w:rsid w:val="0012193F"/>
    <w:rsid w:val="001228F5"/>
    <w:rsid w:val="00126656"/>
    <w:rsid w:val="00132C72"/>
    <w:rsid w:val="00132D91"/>
    <w:rsid w:val="00136DB1"/>
    <w:rsid w:val="00144334"/>
    <w:rsid w:val="00146590"/>
    <w:rsid w:val="00150ECE"/>
    <w:rsid w:val="001531C2"/>
    <w:rsid w:val="00153864"/>
    <w:rsid w:val="00157991"/>
    <w:rsid w:val="001678D4"/>
    <w:rsid w:val="00177F90"/>
    <w:rsid w:val="001829B5"/>
    <w:rsid w:val="001843FE"/>
    <w:rsid w:val="00185AEA"/>
    <w:rsid w:val="00186672"/>
    <w:rsid w:val="00187133"/>
    <w:rsid w:val="00190687"/>
    <w:rsid w:val="00195122"/>
    <w:rsid w:val="001971C7"/>
    <w:rsid w:val="001A5C2E"/>
    <w:rsid w:val="001A6867"/>
    <w:rsid w:val="001B059C"/>
    <w:rsid w:val="001B2EE5"/>
    <w:rsid w:val="001B38A7"/>
    <w:rsid w:val="001C17DE"/>
    <w:rsid w:val="001C5405"/>
    <w:rsid w:val="001C574B"/>
    <w:rsid w:val="001C7788"/>
    <w:rsid w:val="001D7E15"/>
    <w:rsid w:val="001E696E"/>
    <w:rsid w:val="001E6DCB"/>
    <w:rsid w:val="001F6B0A"/>
    <w:rsid w:val="002023BC"/>
    <w:rsid w:val="00203D1D"/>
    <w:rsid w:val="002040D1"/>
    <w:rsid w:val="00206873"/>
    <w:rsid w:val="002150B9"/>
    <w:rsid w:val="002163DC"/>
    <w:rsid w:val="00224E0B"/>
    <w:rsid w:val="00235E2F"/>
    <w:rsid w:val="002377AD"/>
    <w:rsid w:val="002407EE"/>
    <w:rsid w:val="00244498"/>
    <w:rsid w:val="00254D7D"/>
    <w:rsid w:val="0026026C"/>
    <w:rsid w:val="0026208B"/>
    <w:rsid w:val="002627CC"/>
    <w:rsid w:val="00263782"/>
    <w:rsid w:val="0026409F"/>
    <w:rsid w:val="00274B1F"/>
    <w:rsid w:val="0027532E"/>
    <w:rsid w:val="00276ED8"/>
    <w:rsid w:val="00287BD6"/>
    <w:rsid w:val="00287E35"/>
    <w:rsid w:val="00291D62"/>
    <w:rsid w:val="00294285"/>
    <w:rsid w:val="0029471E"/>
    <w:rsid w:val="002A2501"/>
    <w:rsid w:val="002B001C"/>
    <w:rsid w:val="002B3001"/>
    <w:rsid w:val="002B5C1A"/>
    <w:rsid w:val="002B6BC5"/>
    <w:rsid w:val="002B792F"/>
    <w:rsid w:val="002D1559"/>
    <w:rsid w:val="002D294D"/>
    <w:rsid w:val="002D2FFD"/>
    <w:rsid w:val="002F26CA"/>
    <w:rsid w:val="002F4E4B"/>
    <w:rsid w:val="00300379"/>
    <w:rsid w:val="003039B0"/>
    <w:rsid w:val="003041A0"/>
    <w:rsid w:val="00305776"/>
    <w:rsid w:val="0031740B"/>
    <w:rsid w:val="003368D2"/>
    <w:rsid w:val="00337CC4"/>
    <w:rsid w:val="003413C8"/>
    <w:rsid w:val="00343E1C"/>
    <w:rsid w:val="003600F4"/>
    <w:rsid w:val="0037091C"/>
    <w:rsid w:val="003735FD"/>
    <w:rsid w:val="003749C5"/>
    <w:rsid w:val="003852A6"/>
    <w:rsid w:val="00397122"/>
    <w:rsid w:val="003A131D"/>
    <w:rsid w:val="003A65AB"/>
    <w:rsid w:val="003A6DCE"/>
    <w:rsid w:val="003B28AD"/>
    <w:rsid w:val="003B570B"/>
    <w:rsid w:val="003C1B49"/>
    <w:rsid w:val="003C3CFE"/>
    <w:rsid w:val="003C422B"/>
    <w:rsid w:val="003C76CB"/>
    <w:rsid w:val="003C7EC5"/>
    <w:rsid w:val="003D45E4"/>
    <w:rsid w:val="003D498A"/>
    <w:rsid w:val="003D5A9A"/>
    <w:rsid w:val="003D5EE2"/>
    <w:rsid w:val="003E1002"/>
    <w:rsid w:val="003E2265"/>
    <w:rsid w:val="003E29B4"/>
    <w:rsid w:val="004033EB"/>
    <w:rsid w:val="004127DB"/>
    <w:rsid w:val="0042268F"/>
    <w:rsid w:val="00422BD5"/>
    <w:rsid w:val="004236E0"/>
    <w:rsid w:val="0042465D"/>
    <w:rsid w:val="00424D9A"/>
    <w:rsid w:val="004261E5"/>
    <w:rsid w:val="00432E97"/>
    <w:rsid w:val="0044190C"/>
    <w:rsid w:val="00442B73"/>
    <w:rsid w:val="00450916"/>
    <w:rsid w:val="00451C5D"/>
    <w:rsid w:val="00472EB3"/>
    <w:rsid w:val="00473A78"/>
    <w:rsid w:val="004761C1"/>
    <w:rsid w:val="00482F5C"/>
    <w:rsid w:val="0048428E"/>
    <w:rsid w:val="00484910"/>
    <w:rsid w:val="004909FB"/>
    <w:rsid w:val="004947F2"/>
    <w:rsid w:val="004A33EA"/>
    <w:rsid w:val="004B176C"/>
    <w:rsid w:val="004B44A2"/>
    <w:rsid w:val="004B4B89"/>
    <w:rsid w:val="004B5AC1"/>
    <w:rsid w:val="004B7CA3"/>
    <w:rsid w:val="004D034A"/>
    <w:rsid w:val="004D1209"/>
    <w:rsid w:val="004D28AC"/>
    <w:rsid w:val="004D795A"/>
    <w:rsid w:val="004E09C6"/>
    <w:rsid w:val="004F0412"/>
    <w:rsid w:val="004F4954"/>
    <w:rsid w:val="00502D58"/>
    <w:rsid w:val="00503F31"/>
    <w:rsid w:val="00505DE3"/>
    <w:rsid w:val="00506BC9"/>
    <w:rsid w:val="00517FF9"/>
    <w:rsid w:val="00524834"/>
    <w:rsid w:val="0052546D"/>
    <w:rsid w:val="00536C14"/>
    <w:rsid w:val="005421DC"/>
    <w:rsid w:val="00546B88"/>
    <w:rsid w:val="0054765B"/>
    <w:rsid w:val="00547D2F"/>
    <w:rsid w:val="00557BC5"/>
    <w:rsid w:val="00560E84"/>
    <w:rsid w:val="00561DFF"/>
    <w:rsid w:val="00570919"/>
    <w:rsid w:val="00571E25"/>
    <w:rsid w:val="00572A5E"/>
    <w:rsid w:val="00590DD2"/>
    <w:rsid w:val="005A0DC0"/>
    <w:rsid w:val="005A233F"/>
    <w:rsid w:val="005A4037"/>
    <w:rsid w:val="005D041A"/>
    <w:rsid w:val="005D32C8"/>
    <w:rsid w:val="005E0AD2"/>
    <w:rsid w:val="005E1078"/>
    <w:rsid w:val="005E24EC"/>
    <w:rsid w:val="005E3D75"/>
    <w:rsid w:val="005E749E"/>
    <w:rsid w:val="005F4A58"/>
    <w:rsid w:val="00600F1D"/>
    <w:rsid w:val="00602ED9"/>
    <w:rsid w:val="006032A6"/>
    <w:rsid w:val="00605413"/>
    <w:rsid w:val="006102CB"/>
    <w:rsid w:val="00610560"/>
    <w:rsid w:val="00611B72"/>
    <w:rsid w:val="00617B7E"/>
    <w:rsid w:val="00617D89"/>
    <w:rsid w:val="00630353"/>
    <w:rsid w:val="006376A9"/>
    <w:rsid w:val="006520DE"/>
    <w:rsid w:val="006549D8"/>
    <w:rsid w:val="0066190C"/>
    <w:rsid w:val="006653DE"/>
    <w:rsid w:val="006748BA"/>
    <w:rsid w:val="00681FC4"/>
    <w:rsid w:val="00683527"/>
    <w:rsid w:val="0068413A"/>
    <w:rsid w:val="00687A0C"/>
    <w:rsid w:val="00692AB5"/>
    <w:rsid w:val="00694AAB"/>
    <w:rsid w:val="006A0E0F"/>
    <w:rsid w:val="006B10F6"/>
    <w:rsid w:val="006B1DAC"/>
    <w:rsid w:val="006B2B71"/>
    <w:rsid w:val="006B3B64"/>
    <w:rsid w:val="006C1800"/>
    <w:rsid w:val="006D1E96"/>
    <w:rsid w:val="006D3C52"/>
    <w:rsid w:val="006E4591"/>
    <w:rsid w:val="006E4D62"/>
    <w:rsid w:val="006F1BF8"/>
    <w:rsid w:val="006F5C4E"/>
    <w:rsid w:val="006F6567"/>
    <w:rsid w:val="006F6C38"/>
    <w:rsid w:val="00700B44"/>
    <w:rsid w:val="00703CE5"/>
    <w:rsid w:val="00705FEA"/>
    <w:rsid w:val="00711651"/>
    <w:rsid w:val="007119B9"/>
    <w:rsid w:val="00712A31"/>
    <w:rsid w:val="00712EBB"/>
    <w:rsid w:val="00715398"/>
    <w:rsid w:val="00717232"/>
    <w:rsid w:val="00717627"/>
    <w:rsid w:val="00720736"/>
    <w:rsid w:val="00722C68"/>
    <w:rsid w:val="007232FF"/>
    <w:rsid w:val="00727DAC"/>
    <w:rsid w:val="00727DB3"/>
    <w:rsid w:val="00734798"/>
    <w:rsid w:val="0073778A"/>
    <w:rsid w:val="00740CDC"/>
    <w:rsid w:val="00740DCD"/>
    <w:rsid w:val="00745D4F"/>
    <w:rsid w:val="00746922"/>
    <w:rsid w:val="00750336"/>
    <w:rsid w:val="0075181E"/>
    <w:rsid w:val="007553B2"/>
    <w:rsid w:val="00757B27"/>
    <w:rsid w:val="00764F5E"/>
    <w:rsid w:val="00771BBC"/>
    <w:rsid w:val="00775F73"/>
    <w:rsid w:val="00777208"/>
    <w:rsid w:val="00785B83"/>
    <w:rsid w:val="007905CB"/>
    <w:rsid w:val="007A6EE9"/>
    <w:rsid w:val="007B0D25"/>
    <w:rsid w:val="007B3B3C"/>
    <w:rsid w:val="007C02B5"/>
    <w:rsid w:val="007C1806"/>
    <w:rsid w:val="007C4A6F"/>
    <w:rsid w:val="007D438C"/>
    <w:rsid w:val="007E1BE9"/>
    <w:rsid w:val="007E282E"/>
    <w:rsid w:val="007E6230"/>
    <w:rsid w:val="007F7D13"/>
    <w:rsid w:val="00800985"/>
    <w:rsid w:val="0080150E"/>
    <w:rsid w:val="00802C7B"/>
    <w:rsid w:val="00807101"/>
    <w:rsid w:val="008153B9"/>
    <w:rsid w:val="0081762F"/>
    <w:rsid w:val="00817828"/>
    <w:rsid w:val="008311EB"/>
    <w:rsid w:val="0083137B"/>
    <w:rsid w:val="00832B82"/>
    <w:rsid w:val="00833E62"/>
    <w:rsid w:val="00851980"/>
    <w:rsid w:val="008566FB"/>
    <w:rsid w:val="008728C3"/>
    <w:rsid w:val="00882A57"/>
    <w:rsid w:val="00884DCA"/>
    <w:rsid w:val="008A2526"/>
    <w:rsid w:val="008A4871"/>
    <w:rsid w:val="008A6348"/>
    <w:rsid w:val="008A68DA"/>
    <w:rsid w:val="008B09B3"/>
    <w:rsid w:val="008B0EB0"/>
    <w:rsid w:val="008B1A14"/>
    <w:rsid w:val="008B661F"/>
    <w:rsid w:val="008C14CB"/>
    <w:rsid w:val="008C244E"/>
    <w:rsid w:val="008D4226"/>
    <w:rsid w:val="008D4793"/>
    <w:rsid w:val="008D6524"/>
    <w:rsid w:val="008E6B4E"/>
    <w:rsid w:val="008F30B2"/>
    <w:rsid w:val="0090406D"/>
    <w:rsid w:val="0090672B"/>
    <w:rsid w:val="0091470E"/>
    <w:rsid w:val="00925A34"/>
    <w:rsid w:val="009313C3"/>
    <w:rsid w:val="009356CD"/>
    <w:rsid w:val="009367EF"/>
    <w:rsid w:val="009460BF"/>
    <w:rsid w:val="00951F06"/>
    <w:rsid w:val="00952BA3"/>
    <w:rsid w:val="00953365"/>
    <w:rsid w:val="00953643"/>
    <w:rsid w:val="009547F5"/>
    <w:rsid w:val="00957243"/>
    <w:rsid w:val="00965CED"/>
    <w:rsid w:val="00972D33"/>
    <w:rsid w:val="009762C1"/>
    <w:rsid w:val="00976F5A"/>
    <w:rsid w:val="00977302"/>
    <w:rsid w:val="009847AC"/>
    <w:rsid w:val="009855A5"/>
    <w:rsid w:val="00993A6E"/>
    <w:rsid w:val="00995DA0"/>
    <w:rsid w:val="009A2189"/>
    <w:rsid w:val="009A32CB"/>
    <w:rsid w:val="009A5749"/>
    <w:rsid w:val="009A7F87"/>
    <w:rsid w:val="009B2B0F"/>
    <w:rsid w:val="009C14EC"/>
    <w:rsid w:val="009C6992"/>
    <w:rsid w:val="009C76C0"/>
    <w:rsid w:val="009D243D"/>
    <w:rsid w:val="009D292C"/>
    <w:rsid w:val="009E08C2"/>
    <w:rsid w:val="009E7CA4"/>
    <w:rsid w:val="00A05309"/>
    <w:rsid w:val="00A05477"/>
    <w:rsid w:val="00A07DC2"/>
    <w:rsid w:val="00A112A7"/>
    <w:rsid w:val="00A16B43"/>
    <w:rsid w:val="00A21B5D"/>
    <w:rsid w:val="00A2216B"/>
    <w:rsid w:val="00A22485"/>
    <w:rsid w:val="00A24868"/>
    <w:rsid w:val="00A36457"/>
    <w:rsid w:val="00A424E2"/>
    <w:rsid w:val="00A43132"/>
    <w:rsid w:val="00A45CED"/>
    <w:rsid w:val="00A52D35"/>
    <w:rsid w:val="00A52E45"/>
    <w:rsid w:val="00A55D60"/>
    <w:rsid w:val="00A56F1D"/>
    <w:rsid w:val="00A61B5E"/>
    <w:rsid w:val="00A65B53"/>
    <w:rsid w:val="00A72A7F"/>
    <w:rsid w:val="00A77086"/>
    <w:rsid w:val="00A93535"/>
    <w:rsid w:val="00AA3B98"/>
    <w:rsid w:val="00AB285A"/>
    <w:rsid w:val="00AC1C01"/>
    <w:rsid w:val="00AC47BD"/>
    <w:rsid w:val="00AC4DB7"/>
    <w:rsid w:val="00AC6108"/>
    <w:rsid w:val="00AD6E80"/>
    <w:rsid w:val="00AD706D"/>
    <w:rsid w:val="00AE6C93"/>
    <w:rsid w:val="00AF1ABD"/>
    <w:rsid w:val="00AF33F7"/>
    <w:rsid w:val="00AF4500"/>
    <w:rsid w:val="00AF6455"/>
    <w:rsid w:val="00AF721B"/>
    <w:rsid w:val="00B031F1"/>
    <w:rsid w:val="00B05508"/>
    <w:rsid w:val="00B06831"/>
    <w:rsid w:val="00B078BB"/>
    <w:rsid w:val="00B14BE5"/>
    <w:rsid w:val="00B15BB7"/>
    <w:rsid w:val="00B215ED"/>
    <w:rsid w:val="00B25441"/>
    <w:rsid w:val="00B257A1"/>
    <w:rsid w:val="00B3450E"/>
    <w:rsid w:val="00B3724B"/>
    <w:rsid w:val="00B40706"/>
    <w:rsid w:val="00B44AF3"/>
    <w:rsid w:val="00B52AC4"/>
    <w:rsid w:val="00B62AF2"/>
    <w:rsid w:val="00B6406D"/>
    <w:rsid w:val="00B7143C"/>
    <w:rsid w:val="00B745B8"/>
    <w:rsid w:val="00B90F99"/>
    <w:rsid w:val="00B92186"/>
    <w:rsid w:val="00B92698"/>
    <w:rsid w:val="00B92E6D"/>
    <w:rsid w:val="00B945F5"/>
    <w:rsid w:val="00B96444"/>
    <w:rsid w:val="00B96F79"/>
    <w:rsid w:val="00BA4196"/>
    <w:rsid w:val="00BB2AB0"/>
    <w:rsid w:val="00BB32A4"/>
    <w:rsid w:val="00BB50A0"/>
    <w:rsid w:val="00BC4805"/>
    <w:rsid w:val="00BC6836"/>
    <w:rsid w:val="00BD4FFA"/>
    <w:rsid w:val="00BE46A6"/>
    <w:rsid w:val="00BE74FF"/>
    <w:rsid w:val="00BE777E"/>
    <w:rsid w:val="00BF013B"/>
    <w:rsid w:val="00BF1C12"/>
    <w:rsid w:val="00BF2B2C"/>
    <w:rsid w:val="00BF7858"/>
    <w:rsid w:val="00C007AA"/>
    <w:rsid w:val="00C026BB"/>
    <w:rsid w:val="00C06339"/>
    <w:rsid w:val="00C07B1E"/>
    <w:rsid w:val="00C237F6"/>
    <w:rsid w:val="00C24D14"/>
    <w:rsid w:val="00C268F3"/>
    <w:rsid w:val="00C30423"/>
    <w:rsid w:val="00C30EC7"/>
    <w:rsid w:val="00C4022F"/>
    <w:rsid w:val="00C407FE"/>
    <w:rsid w:val="00C572FE"/>
    <w:rsid w:val="00C60306"/>
    <w:rsid w:val="00C61940"/>
    <w:rsid w:val="00C61944"/>
    <w:rsid w:val="00C628ED"/>
    <w:rsid w:val="00C664D7"/>
    <w:rsid w:val="00C74A17"/>
    <w:rsid w:val="00C74D5E"/>
    <w:rsid w:val="00C75056"/>
    <w:rsid w:val="00C75526"/>
    <w:rsid w:val="00C807BD"/>
    <w:rsid w:val="00C844CF"/>
    <w:rsid w:val="00C84EC3"/>
    <w:rsid w:val="00C8585A"/>
    <w:rsid w:val="00C91774"/>
    <w:rsid w:val="00C91E45"/>
    <w:rsid w:val="00C9264C"/>
    <w:rsid w:val="00C940CB"/>
    <w:rsid w:val="00C970D9"/>
    <w:rsid w:val="00CA108A"/>
    <w:rsid w:val="00CA2BEF"/>
    <w:rsid w:val="00CA37F5"/>
    <w:rsid w:val="00CA6255"/>
    <w:rsid w:val="00CB3DAC"/>
    <w:rsid w:val="00CB4CB1"/>
    <w:rsid w:val="00CC3B22"/>
    <w:rsid w:val="00CC3E72"/>
    <w:rsid w:val="00CC5704"/>
    <w:rsid w:val="00CD34FD"/>
    <w:rsid w:val="00CD4BBB"/>
    <w:rsid w:val="00CE3B86"/>
    <w:rsid w:val="00CE4718"/>
    <w:rsid w:val="00CE4751"/>
    <w:rsid w:val="00CE63E2"/>
    <w:rsid w:val="00CE6BAB"/>
    <w:rsid w:val="00CF0392"/>
    <w:rsid w:val="00CF1102"/>
    <w:rsid w:val="00CF3B4F"/>
    <w:rsid w:val="00D026FD"/>
    <w:rsid w:val="00D164AF"/>
    <w:rsid w:val="00D21426"/>
    <w:rsid w:val="00D21C20"/>
    <w:rsid w:val="00D25CB3"/>
    <w:rsid w:val="00D32F5E"/>
    <w:rsid w:val="00D33086"/>
    <w:rsid w:val="00D33B9F"/>
    <w:rsid w:val="00D36DC4"/>
    <w:rsid w:val="00D37A14"/>
    <w:rsid w:val="00D43F82"/>
    <w:rsid w:val="00D44A15"/>
    <w:rsid w:val="00D462C7"/>
    <w:rsid w:val="00D47005"/>
    <w:rsid w:val="00D52CBB"/>
    <w:rsid w:val="00D658B2"/>
    <w:rsid w:val="00D65A8A"/>
    <w:rsid w:val="00D673B5"/>
    <w:rsid w:val="00D67E80"/>
    <w:rsid w:val="00D703A5"/>
    <w:rsid w:val="00D74006"/>
    <w:rsid w:val="00D77336"/>
    <w:rsid w:val="00D8086B"/>
    <w:rsid w:val="00D87B30"/>
    <w:rsid w:val="00DB6201"/>
    <w:rsid w:val="00DC0206"/>
    <w:rsid w:val="00DC0CE4"/>
    <w:rsid w:val="00DC13B3"/>
    <w:rsid w:val="00DD0BA1"/>
    <w:rsid w:val="00DD4526"/>
    <w:rsid w:val="00DD4624"/>
    <w:rsid w:val="00DD71F6"/>
    <w:rsid w:val="00DE4C00"/>
    <w:rsid w:val="00DE5C3F"/>
    <w:rsid w:val="00E0320B"/>
    <w:rsid w:val="00E05460"/>
    <w:rsid w:val="00E12146"/>
    <w:rsid w:val="00E14D3F"/>
    <w:rsid w:val="00E16CDD"/>
    <w:rsid w:val="00E218EA"/>
    <w:rsid w:val="00E26636"/>
    <w:rsid w:val="00E27311"/>
    <w:rsid w:val="00E30BC4"/>
    <w:rsid w:val="00E35B6C"/>
    <w:rsid w:val="00E370BC"/>
    <w:rsid w:val="00E44667"/>
    <w:rsid w:val="00E45AC3"/>
    <w:rsid w:val="00E46135"/>
    <w:rsid w:val="00E50D9E"/>
    <w:rsid w:val="00E571B1"/>
    <w:rsid w:val="00E6092E"/>
    <w:rsid w:val="00E635D6"/>
    <w:rsid w:val="00EA2E94"/>
    <w:rsid w:val="00EB1A55"/>
    <w:rsid w:val="00EB2034"/>
    <w:rsid w:val="00EB2246"/>
    <w:rsid w:val="00EC0FBC"/>
    <w:rsid w:val="00EC47D3"/>
    <w:rsid w:val="00EC6751"/>
    <w:rsid w:val="00ED2425"/>
    <w:rsid w:val="00ED2641"/>
    <w:rsid w:val="00ED338A"/>
    <w:rsid w:val="00ED57D2"/>
    <w:rsid w:val="00ED70E9"/>
    <w:rsid w:val="00EE26CC"/>
    <w:rsid w:val="00EE49BC"/>
    <w:rsid w:val="00EF06BD"/>
    <w:rsid w:val="00EF6DBA"/>
    <w:rsid w:val="00EF7FF3"/>
    <w:rsid w:val="00F11D20"/>
    <w:rsid w:val="00F14995"/>
    <w:rsid w:val="00F1660D"/>
    <w:rsid w:val="00F200E4"/>
    <w:rsid w:val="00F205C2"/>
    <w:rsid w:val="00F21229"/>
    <w:rsid w:val="00F21545"/>
    <w:rsid w:val="00F30CE2"/>
    <w:rsid w:val="00F328FC"/>
    <w:rsid w:val="00F32C48"/>
    <w:rsid w:val="00F34A7C"/>
    <w:rsid w:val="00F36F06"/>
    <w:rsid w:val="00F373CF"/>
    <w:rsid w:val="00F5214C"/>
    <w:rsid w:val="00F603D5"/>
    <w:rsid w:val="00F71C31"/>
    <w:rsid w:val="00F733E1"/>
    <w:rsid w:val="00F8266E"/>
    <w:rsid w:val="00F85B74"/>
    <w:rsid w:val="00F87965"/>
    <w:rsid w:val="00F87F4B"/>
    <w:rsid w:val="00F96EBC"/>
    <w:rsid w:val="00FA12FE"/>
    <w:rsid w:val="00FA248D"/>
    <w:rsid w:val="00FA4A0A"/>
    <w:rsid w:val="00FB05A9"/>
    <w:rsid w:val="00FB21E2"/>
    <w:rsid w:val="00FB7C49"/>
    <w:rsid w:val="00FC438D"/>
    <w:rsid w:val="00FC7B51"/>
    <w:rsid w:val="00FD0330"/>
    <w:rsid w:val="00FD1D51"/>
    <w:rsid w:val="00FD37B3"/>
    <w:rsid w:val="00FD64CE"/>
    <w:rsid w:val="00FD67DA"/>
    <w:rsid w:val="00FF6F78"/>
    <w:rsid w:val="14C788B1"/>
    <w:rsid w:val="4FB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012621"/>
  <w15:docId w15:val="{925D9BEC-BC29-4DAC-AD82-A1C72B7E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28E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E77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4D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48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05C2"/>
    <w:rPr>
      <w:rFonts w:ascii="Tahoma" w:hAnsi="Tahoma" w:cs="Tahoma"/>
      <w:sz w:val="16"/>
      <w:szCs w:val="16"/>
    </w:rPr>
  </w:style>
  <w:style w:type="paragraph" w:customStyle="1" w:styleId="BrandHeadline1">
    <w:name w:val="Brand Headline 1"/>
    <w:basedOn w:val="Normal"/>
    <w:next w:val="Normal"/>
    <w:rsid w:val="00E14D3F"/>
    <w:rPr>
      <w:rFonts w:ascii="Arial (W1)" w:hAnsi="Arial (W1)" w:cs="Arial"/>
      <w:b/>
      <w:color w:val="203B71"/>
      <w:sz w:val="28"/>
      <w:lang w:val="en-US"/>
    </w:rPr>
  </w:style>
  <w:style w:type="paragraph" w:styleId="BodyText">
    <w:name w:val="Body Text"/>
    <w:basedOn w:val="Normal"/>
    <w:rsid w:val="00E14D3F"/>
    <w:pPr>
      <w:spacing w:after="120"/>
    </w:pPr>
    <w:rPr>
      <w:lang w:eastAsia="en-GB"/>
    </w:rPr>
  </w:style>
  <w:style w:type="paragraph" w:customStyle="1" w:styleId="NormalWeb2">
    <w:name w:val="Normal (Web)2"/>
    <w:basedOn w:val="Normal"/>
    <w:rsid w:val="003A131D"/>
    <w:rPr>
      <w:lang w:eastAsia="en-GB"/>
    </w:rPr>
  </w:style>
  <w:style w:type="numbering" w:customStyle="1" w:styleId="HayGroupBulletlist">
    <w:name w:val="Hay Group Bullet list"/>
    <w:rsid w:val="00605413"/>
    <w:pPr>
      <w:numPr>
        <w:numId w:val="1"/>
      </w:numPr>
    </w:pPr>
  </w:style>
  <w:style w:type="paragraph" w:styleId="Title">
    <w:name w:val="Title"/>
    <w:basedOn w:val="Normal"/>
    <w:qFormat/>
    <w:rsid w:val="00132C72"/>
    <w:pPr>
      <w:jc w:val="center"/>
    </w:pPr>
    <w:rPr>
      <w:rFonts w:ascii="Arial" w:hAnsi="Arial"/>
      <w:caps/>
      <w:kern w:val="16"/>
      <w:sz w:val="28"/>
      <w:szCs w:val="20"/>
      <w:lang w:eastAsia="en-GB"/>
    </w:rPr>
  </w:style>
  <w:style w:type="paragraph" w:customStyle="1" w:styleId="1">
    <w:name w:val="1"/>
    <w:basedOn w:val="Normal"/>
    <w:rsid w:val="00472EB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BC48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5DA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909F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909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F06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6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06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6BD"/>
    <w:rPr>
      <w:sz w:val="24"/>
      <w:szCs w:val="24"/>
      <w:lang w:eastAsia="en-US"/>
    </w:rPr>
  </w:style>
  <w:style w:type="paragraph" w:customStyle="1" w:styleId="paragraph">
    <w:name w:val="paragraph"/>
    <w:basedOn w:val="Normal"/>
    <w:rsid w:val="00D703A5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703A5"/>
  </w:style>
  <w:style w:type="character" w:customStyle="1" w:styleId="eop">
    <w:name w:val="eop"/>
    <w:basedOn w:val="DefaultParagraphFont"/>
    <w:rsid w:val="00D703A5"/>
  </w:style>
  <w:style w:type="character" w:styleId="CommentReference">
    <w:name w:val="annotation reference"/>
    <w:basedOn w:val="DefaultParagraphFont"/>
    <w:uiPriority w:val="99"/>
    <w:semiHidden/>
    <w:unhideWhenUsed/>
    <w:rsid w:val="00BE4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A6"/>
    <w:rPr>
      <w:b/>
      <w:bCs/>
      <w:lang w:eastAsia="en-US"/>
    </w:rPr>
  </w:style>
  <w:style w:type="character" w:customStyle="1" w:styleId="normaltextrun1">
    <w:name w:val="normaltextrun1"/>
    <w:basedOn w:val="DefaultParagraphFont"/>
    <w:rsid w:val="00DD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1308</Words>
  <Characters>7456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TITLE</vt:lpstr>
    </vt:vector>
  </TitlesOfParts>
  <Company>Aviva Plc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TITLE</dc:title>
  <dc:subject/>
  <dc:creator>asanghera@rac.co.uk</dc:creator>
  <cp:keywords/>
  <dc:description/>
  <cp:lastModifiedBy>Harj Kaur</cp:lastModifiedBy>
  <cp:revision>2</cp:revision>
  <cp:lastPrinted>2017-06-01T13:54:00Z</cp:lastPrinted>
  <dcterms:created xsi:type="dcterms:W3CDTF">2021-08-20T12:32:00Z</dcterms:created>
  <dcterms:modified xsi:type="dcterms:W3CDTF">2021-08-20T12:32:00Z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31d191-7088-4eb1-ab06-b12dc07093e5_Enabled">
    <vt:lpwstr>True</vt:lpwstr>
  </property>
  <property fmtid="{D5CDD505-2E9C-101B-9397-08002B2CF9AE}" pid="3" name="MSIP_Label_a731d191-7088-4eb1-ab06-b12dc07093e5_SiteId">
    <vt:lpwstr>f032b319-4799-4e8e-a918-210123fcbf8b</vt:lpwstr>
  </property>
  <property fmtid="{D5CDD505-2E9C-101B-9397-08002B2CF9AE}" pid="4" name="MSIP_Label_a731d191-7088-4eb1-ab06-b12dc07093e5_Owner">
    <vt:lpwstr>Harj.Kaur@lgpscentral.co.uk</vt:lpwstr>
  </property>
  <property fmtid="{D5CDD505-2E9C-101B-9397-08002B2CF9AE}" pid="5" name="MSIP_Label_a731d191-7088-4eb1-ab06-b12dc07093e5_SetDate">
    <vt:lpwstr>2018-07-30T10:01:57.1492935Z</vt:lpwstr>
  </property>
  <property fmtid="{D5CDD505-2E9C-101B-9397-08002B2CF9AE}" pid="6" name="MSIP_Label_a731d191-7088-4eb1-ab06-b12dc07093e5_Name">
    <vt:lpwstr>Internal</vt:lpwstr>
  </property>
  <property fmtid="{D5CDD505-2E9C-101B-9397-08002B2CF9AE}" pid="7" name="MSIP_Label_a731d191-7088-4eb1-ab06-b12dc07093e5_Application">
    <vt:lpwstr>Microsoft Azure Information Protection</vt:lpwstr>
  </property>
  <property fmtid="{D5CDD505-2E9C-101B-9397-08002B2CF9AE}" pid="8" name="MSIP_Label_a731d191-7088-4eb1-ab06-b12dc07093e5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0x0101002AE314F2A0050F44B9D61C48DD74C72A</vt:lpwstr>
  </property>
</Properties>
</file>