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2A0D" w14:textId="77777777" w:rsidR="00953643" w:rsidRPr="00832B82" w:rsidRDefault="00953643">
      <w:pPr>
        <w:rPr>
          <w:rFonts w:asciiTheme="minorHAnsi" w:hAnsiTheme="minorHAnsi" w:cstheme="minorHAnsi"/>
          <w:sz w:val="20"/>
          <w:szCs w:val="20"/>
        </w:rPr>
      </w:pPr>
      <w:bookmarkStart w:id="0" w:name="_GoBack"/>
      <w:bookmarkEnd w:id="0"/>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960"/>
        <w:gridCol w:w="4033"/>
        <w:gridCol w:w="1779"/>
        <w:gridCol w:w="2008"/>
        <w:gridCol w:w="2502"/>
        <w:gridCol w:w="2152"/>
      </w:tblGrid>
      <w:tr w:rsidR="002040D1" w:rsidRPr="00832B82" w14:paraId="0A29A580" w14:textId="77777777" w:rsidTr="00832B82">
        <w:tc>
          <w:tcPr>
            <w:tcW w:w="2585" w:type="dxa"/>
            <w:tcBorders>
              <w:top w:val="nil"/>
              <w:left w:val="nil"/>
              <w:bottom w:val="nil"/>
              <w:right w:val="nil"/>
            </w:tcBorders>
            <w:shd w:val="clear" w:color="auto" w:fill="auto"/>
          </w:tcPr>
          <w:p w14:paraId="2E34E47B" w14:textId="77777777" w:rsidR="002040D1" w:rsidRPr="00832B82" w:rsidRDefault="002040D1" w:rsidP="00B52AC4">
            <w:pPr>
              <w:pStyle w:val="Title"/>
              <w:jc w:val="both"/>
              <w:rPr>
                <w:rFonts w:asciiTheme="minorHAnsi" w:hAnsiTheme="minorHAnsi" w:cstheme="minorHAnsi"/>
                <w:b/>
                <w:sz w:val="20"/>
              </w:rPr>
            </w:pPr>
            <w:r w:rsidRPr="00832B82">
              <w:rPr>
                <w:rFonts w:asciiTheme="minorHAnsi" w:hAnsiTheme="minorHAnsi" w:cstheme="minorHAnsi"/>
                <w:b/>
                <w:sz w:val="20"/>
              </w:rPr>
              <w:t>ROLE Title:</w:t>
            </w:r>
          </w:p>
          <w:p w14:paraId="3E2E1029" w14:textId="32C3471E" w:rsidR="00157991" w:rsidRPr="00832B82" w:rsidRDefault="00157991" w:rsidP="00B52AC4">
            <w:pPr>
              <w:pStyle w:val="Title"/>
              <w:jc w:val="both"/>
              <w:rPr>
                <w:rFonts w:asciiTheme="minorHAnsi" w:hAnsiTheme="minorHAnsi" w:cstheme="minorHAnsi"/>
                <w:b/>
                <w:sz w:val="20"/>
              </w:rPr>
            </w:pPr>
            <w:r w:rsidRPr="00832B82">
              <w:rPr>
                <w:rFonts w:asciiTheme="minorHAnsi" w:hAnsiTheme="minorHAnsi" w:cstheme="minorHAnsi"/>
                <w:b/>
                <w:sz w:val="20"/>
              </w:rPr>
              <w:t>GRADE</w:t>
            </w:r>
            <w:r w:rsidR="00276ED8" w:rsidRPr="00832B82">
              <w:rPr>
                <w:rFonts w:asciiTheme="minorHAnsi" w:hAnsiTheme="minorHAnsi" w:cstheme="minorHAnsi"/>
                <w:b/>
                <w:sz w:val="20"/>
              </w:rPr>
              <w:t>/salary</w:t>
            </w:r>
            <w:r w:rsidR="000A4D99" w:rsidRPr="00832B82">
              <w:rPr>
                <w:rFonts w:asciiTheme="minorHAnsi" w:hAnsiTheme="minorHAnsi" w:cstheme="minorHAnsi"/>
                <w:b/>
                <w:sz w:val="20"/>
              </w:rPr>
              <w:t>:</w:t>
            </w:r>
          </w:p>
        </w:tc>
        <w:tc>
          <w:tcPr>
            <w:tcW w:w="4993" w:type="dxa"/>
            <w:gridSpan w:val="2"/>
            <w:tcBorders>
              <w:top w:val="nil"/>
              <w:left w:val="nil"/>
              <w:bottom w:val="nil"/>
              <w:right w:val="nil"/>
            </w:tcBorders>
            <w:shd w:val="clear" w:color="auto" w:fill="auto"/>
          </w:tcPr>
          <w:p w14:paraId="082EC7B2" w14:textId="168FF8F8" w:rsidR="00CA6255" w:rsidRPr="00832B82" w:rsidRDefault="000265FE" w:rsidP="00505DE3">
            <w:pPr>
              <w:pStyle w:val="Title"/>
              <w:jc w:val="both"/>
              <w:rPr>
                <w:rFonts w:asciiTheme="minorHAnsi" w:hAnsiTheme="minorHAnsi" w:cstheme="minorHAnsi"/>
                <w:b/>
                <w:sz w:val="20"/>
              </w:rPr>
            </w:pPr>
            <w:r>
              <w:rPr>
                <w:rFonts w:asciiTheme="minorHAnsi" w:hAnsiTheme="minorHAnsi" w:cstheme="minorHAnsi"/>
                <w:b/>
                <w:sz w:val="20"/>
              </w:rPr>
              <w:t>Head Of Private Markets</w:t>
            </w:r>
          </w:p>
          <w:p w14:paraId="078F5241" w14:textId="74E2EF93" w:rsidR="009313C3" w:rsidRPr="00832B82"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Salary and Benefits </w:t>
            </w:r>
            <w:r w:rsidR="00BB32A4">
              <w:rPr>
                <w:rFonts w:asciiTheme="minorHAnsi" w:hAnsiTheme="minorHAnsi" w:cstheme="minorHAnsi"/>
                <w:sz w:val="20"/>
              </w:rPr>
              <w:t>–</w:t>
            </w:r>
            <w:r w:rsidRPr="00832B82">
              <w:rPr>
                <w:rFonts w:asciiTheme="minorHAnsi" w:hAnsiTheme="minorHAnsi" w:cstheme="minorHAnsi"/>
                <w:sz w:val="20"/>
              </w:rPr>
              <w:t xml:space="preserve"> </w:t>
            </w:r>
            <w:r w:rsidR="00B35FF3">
              <w:rPr>
                <w:rFonts w:asciiTheme="minorHAnsi" w:hAnsiTheme="minorHAnsi" w:cstheme="minorHAnsi"/>
                <w:sz w:val="20"/>
              </w:rPr>
              <w:t xml:space="preserve">up to </w:t>
            </w:r>
            <w:r w:rsidR="007C258C">
              <w:rPr>
                <w:rFonts w:asciiTheme="minorHAnsi" w:hAnsiTheme="minorHAnsi" w:cstheme="minorHAnsi"/>
                <w:sz w:val="20"/>
              </w:rPr>
              <w:t>£14</w:t>
            </w:r>
            <w:r w:rsidR="000265FE">
              <w:rPr>
                <w:rFonts w:asciiTheme="minorHAnsi" w:hAnsiTheme="minorHAnsi" w:cstheme="minorHAnsi"/>
                <w:sz w:val="20"/>
              </w:rPr>
              <w:t>0</w:t>
            </w:r>
            <w:r w:rsidR="007C258C">
              <w:rPr>
                <w:rFonts w:asciiTheme="minorHAnsi" w:hAnsiTheme="minorHAnsi" w:cstheme="minorHAnsi"/>
                <w:sz w:val="20"/>
              </w:rPr>
              <w:t>,000</w:t>
            </w:r>
          </w:p>
          <w:p w14:paraId="25E0DCCA" w14:textId="77777777" w:rsidR="00950DC3"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D</w:t>
            </w:r>
            <w:r w:rsidR="00950DC3">
              <w:rPr>
                <w:rFonts w:asciiTheme="minorHAnsi" w:hAnsiTheme="minorHAnsi" w:cstheme="minorHAnsi"/>
                <w:sz w:val="20"/>
              </w:rPr>
              <w:t>eath in service</w:t>
            </w:r>
            <w:r w:rsidRPr="00832B82">
              <w:rPr>
                <w:rFonts w:asciiTheme="minorHAnsi" w:hAnsiTheme="minorHAnsi" w:cstheme="minorHAnsi"/>
                <w:sz w:val="20"/>
              </w:rPr>
              <w:t>:</w:t>
            </w:r>
            <w:r w:rsidR="00950DC3">
              <w:rPr>
                <w:rFonts w:asciiTheme="minorHAnsi" w:hAnsiTheme="minorHAnsi" w:cstheme="minorHAnsi"/>
                <w:sz w:val="20"/>
              </w:rPr>
              <w:t xml:space="preserve"> </w:t>
            </w:r>
            <w:r w:rsidRPr="00832B82">
              <w:rPr>
                <w:rFonts w:asciiTheme="minorHAnsi" w:hAnsiTheme="minorHAnsi" w:cstheme="minorHAnsi"/>
                <w:sz w:val="20"/>
              </w:rPr>
              <w:t>4xSalar</w:t>
            </w:r>
            <w:r w:rsidR="00950DC3">
              <w:rPr>
                <w:rFonts w:asciiTheme="minorHAnsi" w:hAnsiTheme="minorHAnsi" w:cstheme="minorHAnsi"/>
                <w:sz w:val="20"/>
              </w:rPr>
              <w:t>y</w:t>
            </w:r>
          </w:p>
          <w:p w14:paraId="05AFA021" w14:textId="36ECF1C9" w:rsidR="00505DE3" w:rsidRPr="002C2F28"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Pension: </w:t>
            </w:r>
            <w:r w:rsidR="009717AC">
              <w:rPr>
                <w:rFonts w:asciiTheme="minorHAnsi" w:hAnsiTheme="minorHAnsi" w:cstheme="minorHAnsi"/>
                <w:sz w:val="20"/>
              </w:rPr>
              <w:t>CO</w:t>
            </w:r>
            <w:r w:rsidR="00B35FF3">
              <w:rPr>
                <w:rFonts w:asciiTheme="minorHAnsi" w:hAnsiTheme="minorHAnsi" w:cstheme="minorHAnsi"/>
                <w:sz w:val="20"/>
              </w:rPr>
              <w:t>mpany</w:t>
            </w:r>
            <w:r w:rsidR="009717AC">
              <w:rPr>
                <w:rFonts w:asciiTheme="minorHAnsi" w:hAnsiTheme="minorHAnsi" w:cstheme="minorHAnsi"/>
                <w:sz w:val="20"/>
              </w:rPr>
              <w:t xml:space="preserve"> Pension</w:t>
            </w:r>
            <w:r w:rsidR="00B35FF3">
              <w:rPr>
                <w:rFonts w:asciiTheme="minorHAnsi" w:hAnsiTheme="minorHAnsi" w:cstheme="minorHAnsi"/>
                <w:sz w:val="20"/>
              </w:rPr>
              <w:t xml:space="preserve"> scheme</w:t>
            </w:r>
          </w:p>
        </w:tc>
        <w:tc>
          <w:tcPr>
            <w:tcW w:w="3787" w:type="dxa"/>
            <w:gridSpan w:val="2"/>
            <w:tcBorders>
              <w:top w:val="nil"/>
              <w:left w:val="nil"/>
              <w:bottom w:val="nil"/>
              <w:right w:val="nil"/>
            </w:tcBorders>
            <w:shd w:val="clear" w:color="auto" w:fill="auto"/>
          </w:tcPr>
          <w:p w14:paraId="3D9EC8C3" w14:textId="315DE195" w:rsidR="002040D1" w:rsidRPr="00832B82" w:rsidRDefault="00532EDA" w:rsidP="00B52AC4">
            <w:pPr>
              <w:pStyle w:val="Title"/>
              <w:jc w:val="both"/>
              <w:rPr>
                <w:rFonts w:asciiTheme="minorHAnsi" w:hAnsiTheme="minorHAnsi" w:cstheme="minorHAnsi"/>
                <w:b/>
                <w:sz w:val="20"/>
              </w:rPr>
            </w:pPr>
            <w:r>
              <w:rPr>
                <w:rFonts w:asciiTheme="minorHAnsi" w:hAnsiTheme="minorHAnsi" w:cstheme="minorHAnsi"/>
                <w:b/>
                <w:sz w:val="20"/>
              </w:rPr>
              <w:t xml:space="preserve">                                                                                                                </w:t>
            </w:r>
          </w:p>
        </w:tc>
        <w:tc>
          <w:tcPr>
            <w:tcW w:w="4654" w:type="dxa"/>
            <w:gridSpan w:val="2"/>
            <w:tcBorders>
              <w:top w:val="nil"/>
              <w:left w:val="nil"/>
              <w:bottom w:val="nil"/>
              <w:right w:val="nil"/>
            </w:tcBorders>
            <w:shd w:val="clear" w:color="auto" w:fill="auto"/>
          </w:tcPr>
          <w:p w14:paraId="0F88B237" w14:textId="2B358947" w:rsidR="002040D1" w:rsidRPr="00832B82" w:rsidRDefault="00884DCA" w:rsidP="00187133">
            <w:pPr>
              <w:pStyle w:val="Title"/>
              <w:jc w:val="left"/>
              <w:rPr>
                <w:rFonts w:asciiTheme="minorHAnsi" w:hAnsiTheme="minorHAnsi" w:cstheme="minorHAnsi"/>
                <w:b/>
                <w:sz w:val="20"/>
              </w:rPr>
            </w:pPr>
            <w:r w:rsidRPr="00832B82">
              <w:rPr>
                <w:rFonts w:asciiTheme="minorHAnsi" w:hAnsiTheme="minorHAnsi" w:cstheme="minorHAnsi"/>
                <w:b/>
                <w:sz w:val="20"/>
              </w:rPr>
              <w:t xml:space="preserve">DATE: </w:t>
            </w:r>
            <w:r w:rsidR="00CA6255" w:rsidRPr="00832B82">
              <w:rPr>
                <w:rFonts w:asciiTheme="minorHAnsi" w:hAnsiTheme="minorHAnsi" w:cstheme="minorHAnsi"/>
                <w:b/>
                <w:sz w:val="20"/>
              </w:rPr>
              <w:t xml:space="preserve">  </w:t>
            </w:r>
            <w:r w:rsidR="009C1AE9">
              <w:rPr>
                <w:rFonts w:asciiTheme="minorHAnsi" w:hAnsiTheme="minorHAnsi" w:cstheme="minorHAnsi"/>
                <w:b/>
                <w:sz w:val="20"/>
              </w:rPr>
              <w:t xml:space="preserve">October </w:t>
            </w:r>
            <w:r w:rsidR="000265FE">
              <w:rPr>
                <w:rFonts w:asciiTheme="minorHAnsi" w:hAnsiTheme="minorHAnsi" w:cstheme="minorHAnsi"/>
                <w:b/>
                <w:sz w:val="20"/>
              </w:rPr>
              <w:t xml:space="preserve"> </w:t>
            </w:r>
            <w:r w:rsidR="00276ED8" w:rsidRPr="00832B82">
              <w:rPr>
                <w:rFonts w:asciiTheme="minorHAnsi" w:hAnsiTheme="minorHAnsi" w:cstheme="minorHAnsi"/>
                <w:b/>
                <w:sz w:val="20"/>
              </w:rPr>
              <w:t xml:space="preserve"> </w:t>
            </w:r>
            <w:r w:rsidR="00C268F3" w:rsidRPr="00832B82">
              <w:rPr>
                <w:rFonts w:asciiTheme="minorHAnsi" w:hAnsiTheme="minorHAnsi" w:cstheme="minorHAnsi"/>
                <w:b/>
                <w:sz w:val="20"/>
              </w:rPr>
              <w:t>201</w:t>
            </w:r>
            <w:r w:rsidR="000265FE">
              <w:rPr>
                <w:rFonts w:asciiTheme="minorHAnsi" w:hAnsiTheme="minorHAnsi" w:cstheme="minorHAnsi"/>
                <w:b/>
                <w:sz w:val="20"/>
              </w:rPr>
              <w:t>9</w:t>
            </w:r>
            <w:r w:rsidR="00287E35" w:rsidRPr="00832B82">
              <w:rPr>
                <w:rFonts w:asciiTheme="minorHAnsi" w:hAnsiTheme="minorHAnsi" w:cstheme="minorHAnsi"/>
                <w:b/>
                <w:sz w:val="20"/>
              </w:rPr>
              <w:t xml:space="preserve">                              </w:t>
            </w:r>
            <w:r w:rsidR="00A43132" w:rsidRPr="00832B82">
              <w:rPr>
                <w:rFonts w:asciiTheme="minorHAnsi" w:hAnsiTheme="minorHAnsi" w:cstheme="minorHAnsi"/>
                <w:b/>
                <w:noProof/>
                <w:sz w:val="20"/>
              </w:rPr>
              <w:drawing>
                <wp:inline distT="0" distB="0" distL="0" distR="0" wp14:anchorId="4465D735" wp14:editId="11FDD7A3">
                  <wp:extent cx="935542" cy="390566"/>
                  <wp:effectExtent l="0" t="0" r="0" b="0"/>
                  <wp:docPr id="7" name="Picture 1" descr="image003">
                    <a:extLst xmlns:a="http://schemas.openxmlformats.org/drawingml/2006/main">
                      <a:ext uri="{FF2B5EF4-FFF2-40B4-BE49-F238E27FC236}">
                        <a16:creationId xmlns:a16="http://schemas.microsoft.com/office/drawing/2014/main" id="{7B0EE811-C7B1-4577-A973-58F50C0DB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3">
                            <a:extLst>
                              <a:ext uri="{FF2B5EF4-FFF2-40B4-BE49-F238E27FC236}">
                                <a16:creationId xmlns:a16="http://schemas.microsoft.com/office/drawing/2014/main" id="{7B0EE811-C7B1-4577-A973-58F50C0DB23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876" cy="404065"/>
                          </a:xfrm>
                          <a:prstGeom prst="rect">
                            <a:avLst/>
                          </a:prstGeom>
                          <a:noFill/>
                          <a:ln>
                            <a:noFill/>
                          </a:ln>
                        </pic:spPr>
                      </pic:pic>
                    </a:graphicData>
                  </a:graphic>
                </wp:inline>
              </w:drawing>
            </w:r>
          </w:p>
        </w:tc>
      </w:tr>
      <w:tr w:rsidR="002040D1" w:rsidRPr="00832B82" w14:paraId="065E3BAE" w14:textId="77777777" w:rsidTr="00832B82">
        <w:tc>
          <w:tcPr>
            <w:tcW w:w="2585" w:type="dxa"/>
            <w:tcBorders>
              <w:top w:val="nil"/>
              <w:left w:val="nil"/>
              <w:bottom w:val="nil"/>
              <w:right w:val="nil"/>
            </w:tcBorders>
            <w:shd w:val="clear" w:color="auto" w:fill="auto"/>
          </w:tcPr>
          <w:p w14:paraId="7ABED7D8" w14:textId="77777777" w:rsidR="002040D1" w:rsidRPr="00832B82" w:rsidRDefault="002040D1" w:rsidP="00B52AC4">
            <w:pPr>
              <w:pStyle w:val="Title"/>
              <w:jc w:val="both"/>
              <w:rPr>
                <w:rFonts w:asciiTheme="minorHAnsi" w:hAnsiTheme="minorHAnsi" w:cstheme="minorHAnsi"/>
                <w:b/>
                <w:sz w:val="20"/>
              </w:rPr>
            </w:pPr>
          </w:p>
        </w:tc>
        <w:tc>
          <w:tcPr>
            <w:tcW w:w="4993" w:type="dxa"/>
            <w:gridSpan w:val="2"/>
            <w:tcBorders>
              <w:top w:val="nil"/>
              <w:left w:val="nil"/>
              <w:bottom w:val="nil"/>
              <w:right w:val="nil"/>
            </w:tcBorders>
            <w:shd w:val="clear" w:color="auto" w:fill="auto"/>
          </w:tcPr>
          <w:p w14:paraId="066B6A17" w14:textId="77777777" w:rsidR="002040D1" w:rsidRPr="00832B82" w:rsidRDefault="002040D1" w:rsidP="00B52AC4">
            <w:pPr>
              <w:pStyle w:val="Title"/>
              <w:jc w:val="both"/>
              <w:rPr>
                <w:rFonts w:asciiTheme="minorHAnsi" w:hAnsiTheme="minorHAnsi" w:cstheme="minorHAnsi"/>
                <w:b/>
                <w:sz w:val="20"/>
              </w:rPr>
            </w:pPr>
          </w:p>
        </w:tc>
        <w:tc>
          <w:tcPr>
            <w:tcW w:w="3787" w:type="dxa"/>
            <w:gridSpan w:val="2"/>
            <w:tcBorders>
              <w:top w:val="nil"/>
              <w:left w:val="nil"/>
              <w:bottom w:val="nil"/>
              <w:right w:val="nil"/>
            </w:tcBorders>
            <w:shd w:val="clear" w:color="auto" w:fill="auto"/>
          </w:tcPr>
          <w:p w14:paraId="61D1A821" w14:textId="5435B283" w:rsidR="002040D1" w:rsidRPr="00832B82" w:rsidRDefault="002040D1" w:rsidP="00B52AC4">
            <w:pPr>
              <w:pStyle w:val="Title"/>
              <w:jc w:val="both"/>
              <w:rPr>
                <w:rFonts w:asciiTheme="minorHAnsi" w:hAnsiTheme="minorHAnsi" w:cstheme="minorHAnsi"/>
                <w:b/>
                <w:sz w:val="20"/>
              </w:rPr>
            </w:pPr>
          </w:p>
        </w:tc>
        <w:tc>
          <w:tcPr>
            <w:tcW w:w="4654" w:type="dxa"/>
            <w:gridSpan w:val="2"/>
            <w:tcBorders>
              <w:top w:val="nil"/>
              <w:left w:val="nil"/>
              <w:bottom w:val="nil"/>
              <w:right w:val="nil"/>
            </w:tcBorders>
            <w:shd w:val="clear" w:color="auto" w:fill="auto"/>
          </w:tcPr>
          <w:p w14:paraId="432BE789" w14:textId="77777777" w:rsidR="002040D1" w:rsidRPr="00832B82" w:rsidRDefault="002040D1" w:rsidP="00B52AC4">
            <w:pPr>
              <w:pStyle w:val="Title"/>
              <w:jc w:val="both"/>
              <w:rPr>
                <w:rFonts w:asciiTheme="minorHAnsi" w:hAnsiTheme="minorHAnsi" w:cstheme="minorHAnsi"/>
                <w:b/>
                <w:sz w:val="20"/>
              </w:rPr>
            </w:pPr>
          </w:p>
        </w:tc>
      </w:tr>
      <w:tr w:rsidR="002040D1" w:rsidRPr="00832B82" w14:paraId="46AC6092" w14:textId="77777777" w:rsidTr="006D4056">
        <w:tc>
          <w:tcPr>
            <w:tcW w:w="3545" w:type="dxa"/>
            <w:gridSpan w:val="2"/>
            <w:shd w:val="clear" w:color="auto" w:fill="auto"/>
          </w:tcPr>
          <w:p w14:paraId="68242B92" w14:textId="77777777"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Role</w:t>
            </w:r>
          </w:p>
        </w:tc>
        <w:tc>
          <w:tcPr>
            <w:tcW w:w="5812" w:type="dxa"/>
            <w:gridSpan w:val="2"/>
            <w:shd w:val="clear" w:color="auto" w:fill="auto"/>
          </w:tcPr>
          <w:p w14:paraId="4EA86411" w14:textId="77777777"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Need to Do</w:t>
            </w:r>
          </w:p>
        </w:tc>
        <w:tc>
          <w:tcPr>
            <w:tcW w:w="4510" w:type="dxa"/>
            <w:gridSpan w:val="2"/>
            <w:shd w:val="clear" w:color="auto" w:fill="auto"/>
          </w:tcPr>
          <w:p w14:paraId="2D13CCD3" w14:textId="406BBE16"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 xml:space="preserve">Need </w:t>
            </w:r>
            <w:r w:rsidR="00A43132" w:rsidRPr="00832B82">
              <w:rPr>
                <w:rFonts w:asciiTheme="minorHAnsi" w:hAnsiTheme="minorHAnsi" w:cstheme="minorHAnsi"/>
                <w:b/>
                <w:sz w:val="20"/>
                <w:szCs w:val="20"/>
              </w:rPr>
              <w:t>to</w:t>
            </w:r>
            <w:r w:rsidRPr="00832B82">
              <w:rPr>
                <w:rFonts w:asciiTheme="minorHAnsi" w:hAnsiTheme="minorHAnsi" w:cstheme="minorHAnsi"/>
                <w:b/>
                <w:sz w:val="20"/>
                <w:szCs w:val="20"/>
              </w:rPr>
              <w:t xml:space="preserve"> Know</w:t>
            </w:r>
          </w:p>
        </w:tc>
        <w:tc>
          <w:tcPr>
            <w:tcW w:w="2152" w:type="dxa"/>
            <w:shd w:val="clear" w:color="auto" w:fill="auto"/>
          </w:tcPr>
          <w:p w14:paraId="6BA57CA9" w14:textId="45FF2B7E" w:rsidR="002040D1" w:rsidRPr="00832B82" w:rsidRDefault="00F21545" w:rsidP="00A21B5D">
            <w:pPr>
              <w:rPr>
                <w:rFonts w:asciiTheme="minorHAnsi" w:hAnsiTheme="minorHAnsi" w:cstheme="minorHAnsi"/>
                <w:b/>
                <w:sz w:val="20"/>
                <w:szCs w:val="20"/>
              </w:rPr>
            </w:pPr>
            <w:r w:rsidRPr="00832B82">
              <w:rPr>
                <w:rFonts w:asciiTheme="minorHAnsi" w:hAnsiTheme="minorHAnsi" w:cstheme="minorHAnsi"/>
                <w:b/>
                <w:sz w:val="20"/>
                <w:szCs w:val="20"/>
              </w:rPr>
              <w:t>Values and Behaviours</w:t>
            </w:r>
          </w:p>
        </w:tc>
      </w:tr>
      <w:tr w:rsidR="00966F24" w:rsidRPr="00832B82" w14:paraId="3C33A09E" w14:textId="77777777" w:rsidTr="006D4056">
        <w:tc>
          <w:tcPr>
            <w:tcW w:w="3545" w:type="dxa"/>
            <w:gridSpan w:val="2"/>
            <w:shd w:val="clear" w:color="auto" w:fill="auto"/>
          </w:tcPr>
          <w:p w14:paraId="0251BB79" w14:textId="5FDE21E3" w:rsidR="00966F24" w:rsidRPr="00E3743A" w:rsidRDefault="00966F24" w:rsidP="00966F24">
            <w:pPr>
              <w:pStyle w:val="Subtitle"/>
              <w:numPr>
                <w:ilvl w:val="0"/>
                <w:numId w:val="0"/>
              </w:numPr>
              <w:rPr>
                <w:rFonts w:cstheme="minorHAnsi"/>
                <w:b/>
                <w:color w:val="auto"/>
                <w:sz w:val="20"/>
                <w:szCs w:val="20"/>
              </w:rPr>
            </w:pPr>
            <w:r w:rsidRPr="00E3743A">
              <w:rPr>
                <w:rFonts w:cstheme="minorHAnsi"/>
                <w:b/>
                <w:color w:val="auto"/>
                <w:sz w:val="20"/>
                <w:szCs w:val="20"/>
              </w:rPr>
              <w:t>Role Purpose:</w:t>
            </w:r>
          </w:p>
          <w:p w14:paraId="450F18D1" w14:textId="1FF218C6" w:rsidR="00966F24" w:rsidRPr="00E3743A" w:rsidRDefault="00966F24" w:rsidP="00966F24">
            <w:pPr>
              <w:pStyle w:val="Subtitle"/>
              <w:numPr>
                <w:ilvl w:val="0"/>
                <w:numId w:val="0"/>
              </w:numPr>
              <w:rPr>
                <w:rFonts w:cstheme="minorHAnsi"/>
                <w:color w:val="auto"/>
                <w:sz w:val="20"/>
                <w:szCs w:val="20"/>
              </w:rPr>
            </w:pPr>
            <w:r w:rsidRPr="00E3743A">
              <w:rPr>
                <w:rFonts w:cstheme="minorHAnsi"/>
                <w:color w:val="auto"/>
                <w:sz w:val="20"/>
                <w:szCs w:val="20"/>
              </w:rPr>
              <w:t>Based in the Midlands (Wolverhampton or Matlock investment Offices), t</w:t>
            </w:r>
            <w:r w:rsidRPr="00E3743A">
              <w:rPr>
                <w:rFonts w:cstheme="minorHAnsi"/>
                <w:sz w:val="20"/>
                <w:szCs w:val="20"/>
              </w:rPr>
              <w:t xml:space="preserve">he </w:t>
            </w:r>
            <w:r w:rsidR="009717AC" w:rsidRPr="00E3743A">
              <w:rPr>
                <w:rFonts w:cstheme="minorHAnsi"/>
                <w:sz w:val="20"/>
                <w:szCs w:val="20"/>
              </w:rPr>
              <w:t>H</w:t>
            </w:r>
            <w:r w:rsidR="007B2C4C" w:rsidRPr="00E3743A">
              <w:rPr>
                <w:rFonts w:cstheme="minorHAnsi"/>
                <w:sz w:val="20"/>
                <w:szCs w:val="20"/>
              </w:rPr>
              <w:t xml:space="preserve">ead of Private </w:t>
            </w:r>
            <w:r w:rsidR="00F6441E" w:rsidRPr="00E3743A">
              <w:rPr>
                <w:rFonts w:cstheme="minorHAnsi"/>
                <w:sz w:val="20"/>
                <w:szCs w:val="20"/>
              </w:rPr>
              <w:t>Markets</w:t>
            </w:r>
            <w:r w:rsidRPr="00E3743A">
              <w:rPr>
                <w:rFonts w:cstheme="minorHAnsi"/>
                <w:sz w:val="20"/>
                <w:szCs w:val="20"/>
              </w:rPr>
              <w:t xml:space="preserve"> will work closely with the CIO to build a professional, high performing </w:t>
            </w:r>
            <w:r w:rsidR="009717AC" w:rsidRPr="00E3743A">
              <w:rPr>
                <w:rFonts w:cstheme="minorHAnsi"/>
                <w:sz w:val="20"/>
                <w:szCs w:val="20"/>
              </w:rPr>
              <w:t>Private Markets</w:t>
            </w:r>
            <w:r w:rsidRPr="00E3743A">
              <w:rPr>
                <w:rFonts w:cstheme="minorHAnsi"/>
                <w:sz w:val="20"/>
                <w:szCs w:val="20"/>
              </w:rPr>
              <w:t xml:space="preserve"> function across both locations. The successful candidate will influence the investor style and culture of LGPS Central</w:t>
            </w:r>
            <w:r w:rsidR="00743ED9" w:rsidRPr="00E3743A">
              <w:rPr>
                <w:rFonts w:cstheme="minorHAnsi"/>
                <w:sz w:val="20"/>
                <w:szCs w:val="20"/>
              </w:rPr>
              <w:t xml:space="preserve"> Limited. </w:t>
            </w:r>
            <w:r w:rsidRPr="00E3743A">
              <w:rPr>
                <w:rFonts w:cstheme="minorHAnsi"/>
                <w:sz w:val="20"/>
                <w:szCs w:val="20"/>
              </w:rPr>
              <w:t>This will include working with the CIO to ensure that the size and skill base of the investor team always meets the partner funds’ needs</w:t>
            </w:r>
            <w:r w:rsidR="00743ED9" w:rsidRPr="00E3743A">
              <w:rPr>
                <w:rFonts w:cstheme="minorHAnsi"/>
                <w:sz w:val="20"/>
                <w:szCs w:val="20"/>
              </w:rPr>
              <w:t xml:space="preserve"> </w:t>
            </w:r>
            <w:r w:rsidRPr="00E3743A">
              <w:rPr>
                <w:rFonts w:cstheme="minorHAnsi"/>
                <w:sz w:val="20"/>
                <w:szCs w:val="20"/>
              </w:rPr>
              <w:t>and supporting the CIO and Client Relations function in communications with the partner</w:t>
            </w:r>
            <w:r w:rsidR="00743ED9" w:rsidRPr="00E3743A">
              <w:rPr>
                <w:rFonts w:cstheme="minorHAnsi"/>
                <w:sz w:val="20"/>
                <w:szCs w:val="20"/>
              </w:rPr>
              <w:t xml:space="preserve"> funds.</w:t>
            </w:r>
          </w:p>
          <w:p w14:paraId="228124C2" w14:textId="77777777" w:rsidR="00966F24" w:rsidRPr="00E3743A" w:rsidRDefault="00966F24" w:rsidP="00966F24">
            <w:pPr>
              <w:pStyle w:val="Subtitle"/>
              <w:numPr>
                <w:ilvl w:val="0"/>
                <w:numId w:val="0"/>
              </w:numPr>
              <w:rPr>
                <w:rFonts w:cstheme="minorHAnsi"/>
                <w:b/>
                <w:color w:val="auto"/>
                <w:sz w:val="20"/>
                <w:szCs w:val="20"/>
              </w:rPr>
            </w:pPr>
            <w:r w:rsidRPr="00E3743A">
              <w:rPr>
                <w:rFonts w:cstheme="minorHAnsi"/>
                <w:b/>
                <w:color w:val="auto"/>
                <w:sz w:val="20"/>
                <w:szCs w:val="20"/>
              </w:rPr>
              <w:t>Financial:</w:t>
            </w:r>
          </w:p>
          <w:p w14:paraId="1A44715A" w14:textId="02A83015" w:rsidR="00966F24" w:rsidRPr="00E3743A" w:rsidRDefault="00966F24" w:rsidP="00966F24">
            <w:pPr>
              <w:pStyle w:val="Subtitle"/>
              <w:numPr>
                <w:ilvl w:val="0"/>
                <w:numId w:val="0"/>
              </w:numPr>
              <w:rPr>
                <w:rFonts w:cstheme="minorHAnsi"/>
                <w:b/>
                <w:color w:val="auto"/>
                <w:sz w:val="20"/>
                <w:szCs w:val="20"/>
              </w:rPr>
            </w:pPr>
            <w:r w:rsidRPr="00E3743A">
              <w:rPr>
                <w:rFonts w:cstheme="minorHAnsi"/>
                <w:color w:val="auto"/>
                <w:sz w:val="20"/>
                <w:szCs w:val="20"/>
              </w:rPr>
              <w:t xml:space="preserve">Management of the </w:t>
            </w:r>
            <w:r w:rsidR="000C7D0C" w:rsidRPr="00E3743A">
              <w:rPr>
                <w:rFonts w:cstheme="minorHAnsi"/>
                <w:color w:val="auto"/>
                <w:sz w:val="20"/>
                <w:szCs w:val="20"/>
              </w:rPr>
              <w:t xml:space="preserve">Private </w:t>
            </w:r>
            <w:r w:rsidR="00FA17B3">
              <w:rPr>
                <w:rFonts w:cstheme="minorHAnsi"/>
                <w:color w:val="auto"/>
                <w:sz w:val="20"/>
                <w:szCs w:val="20"/>
              </w:rPr>
              <w:t>Markets</w:t>
            </w:r>
            <w:r w:rsidR="000C7D0C" w:rsidRPr="00E3743A">
              <w:rPr>
                <w:rFonts w:cstheme="minorHAnsi"/>
                <w:color w:val="auto"/>
                <w:sz w:val="20"/>
                <w:szCs w:val="20"/>
              </w:rPr>
              <w:t xml:space="preserve"> </w:t>
            </w:r>
            <w:r w:rsidR="00FA17B3">
              <w:rPr>
                <w:rFonts w:cstheme="minorHAnsi"/>
                <w:color w:val="auto"/>
                <w:sz w:val="20"/>
                <w:szCs w:val="20"/>
              </w:rPr>
              <w:t>Team</w:t>
            </w:r>
          </w:p>
          <w:p w14:paraId="4EBD414B" w14:textId="502215C9" w:rsidR="00966F24" w:rsidRPr="00E3743A" w:rsidRDefault="00966F24" w:rsidP="00966F24">
            <w:pPr>
              <w:pStyle w:val="Subtitle"/>
              <w:numPr>
                <w:ilvl w:val="0"/>
                <w:numId w:val="0"/>
              </w:numPr>
              <w:rPr>
                <w:rFonts w:cstheme="minorHAnsi"/>
                <w:b/>
                <w:color w:val="auto"/>
                <w:sz w:val="20"/>
                <w:szCs w:val="20"/>
              </w:rPr>
            </w:pPr>
            <w:r w:rsidRPr="00E3743A">
              <w:rPr>
                <w:rFonts w:cstheme="minorHAnsi"/>
                <w:b/>
                <w:color w:val="auto"/>
                <w:sz w:val="20"/>
                <w:szCs w:val="20"/>
              </w:rPr>
              <w:t>Non-Financial:</w:t>
            </w:r>
          </w:p>
          <w:p w14:paraId="4D7EAB8B" w14:textId="08046868" w:rsidR="00966F24" w:rsidRPr="00E3743A" w:rsidRDefault="00966F24" w:rsidP="00966F24">
            <w:pPr>
              <w:pStyle w:val="Subtitle"/>
              <w:rPr>
                <w:rFonts w:cstheme="minorHAnsi"/>
                <w:noProof/>
                <w:color w:val="auto"/>
                <w:sz w:val="20"/>
                <w:szCs w:val="20"/>
              </w:rPr>
            </w:pPr>
            <w:r w:rsidRPr="00E3743A">
              <w:rPr>
                <w:rFonts w:cstheme="minorHAnsi"/>
                <w:noProof/>
                <w:color w:val="auto"/>
                <w:sz w:val="20"/>
                <w:szCs w:val="20"/>
              </w:rPr>
              <w:lastRenderedPageBreak/>
              <w:t xml:space="preserve">People Management of the </w:t>
            </w:r>
            <w:r w:rsidR="00E116A7" w:rsidRPr="00E3743A">
              <w:rPr>
                <w:rFonts w:cstheme="minorHAnsi"/>
                <w:noProof/>
                <w:color w:val="auto"/>
                <w:sz w:val="20"/>
                <w:szCs w:val="20"/>
              </w:rPr>
              <w:t>private Markets</w:t>
            </w:r>
            <w:r w:rsidRPr="00E3743A">
              <w:rPr>
                <w:rFonts w:cstheme="minorHAnsi"/>
                <w:noProof/>
                <w:color w:val="auto"/>
                <w:sz w:val="20"/>
                <w:szCs w:val="20"/>
              </w:rPr>
              <w:t xml:space="preserve"> Team including Senior Portfolio Managers</w:t>
            </w:r>
          </w:p>
          <w:p w14:paraId="5FC47F1A" w14:textId="1B16A9F7" w:rsidR="00966F24" w:rsidRPr="00E3743A" w:rsidRDefault="00966F24" w:rsidP="00966F24">
            <w:pPr>
              <w:pStyle w:val="Subtitle"/>
              <w:rPr>
                <w:rFonts w:cstheme="minorHAnsi"/>
                <w:noProof/>
                <w:color w:val="auto"/>
                <w:sz w:val="20"/>
                <w:szCs w:val="20"/>
              </w:rPr>
            </w:pPr>
            <w:r w:rsidRPr="00E3743A">
              <w:rPr>
                <w:rFonts w:cstheme="minorHAnsi"/>
                <w:noProof/>
                <w:color w:val="auto"/>
                <w:sz w:val="20"/>
                <w:szCs w:val="20"/>
              </w:rPr>
              <w:t>Health and Safety</w:t>
            </w:r>
          </w:p>
          <w:p w14:paraId="421DE2F9" w14:textId="09563A1B" w:rsidR="00966F24" w:rsidRPr="00E3743A" w:rsidRDefault="00966F24" w:rsidP="00966F24">
            <w:pPr>
              <w:pStyle w:val="Subtitle"/>
              <w:rPr>
                <w:rFonts w:cstheme="minorHAnsi"/>
                <w:noProof/>
                <w:color w:val="auto"/>
                <w:sz w:val="20"/>
                <w:szCs w:val="20"/>
              </w:rPr>
            </w:pPr>
            <w:r w:rsidRPr="00E3743A">
              <w:rPr>
                <w:rFonts w:cstheme="minorHAnsi"/>
                <w:noProof/>
                <w:color w:val="auto"/>
                <w:sz w:val="20"/>
                <w:szCs w:val="20"/>
              </w:rPr>
              <w:t>Performance management and reporting</w:t>
            </w:r>
          </w:p>
          <w:p w14:paraId="0F87D069" w14:textId="225C1853" w:rsidR="00966F24" w:rsidRPr="00E3743A" w:rsidRDefault="00966F24" w:rsidP="00966F24">
            <w:pPr>
              <w:pStyle w:val="Subtitle"/>
              <w:rPr>
                <w:rFonts w:cstheme="minorHAnsi"/>
                <w:noProof/>
                <w:color w:val="auto"/>
                <w:sz w:val="20"/>
                <w:szCs w:val="20"/>
              </w:rPr>
            </w:pPr>
            <w:r w:rsidRPr="00E3743A">
              <w:rPr>
                <w:rFonts w:cstheme="minorHAnsi"/>
                <w:noProof/>
                <w:color w:val="auto"/>
                <w:sz w:val="20"/>
                <w:szCs w:val="20"/>
              </w:rPr>
              <w:t xml:space="preserve"> </w:t>
            </w:r>
          </w:p>
          <w:p w14:paraId="6118AB78" w14:textId="1D38D7ED" w:rsidR="00966F24" w:rsidRPr="00E3743A" w:rsidRDefault="00966F24" w:rsidP="00966F24">
            <w:pPr>
              <w:pStyle w:val="Subtitle"/>
              <w:rPr>
                <w:rFonts w:cstheme="minorHAnsi"/>
                <w:b/>
                <w:color w:val="auto"/>
                <w:sz w:val="20"/>
                <w:szCs w:val="20"/>
              </w:rPr>
            </w:pPr>
            <w:r w:rsidRPr="00E3743A">
              <w:rPr>
                <w:rFonts w:cstheme="minorHAnsi"/>
                <w:b/>
                <w:color w:val="auto"/>
                <w:sz w:val="20"/>
                <w:szCs w:val="20"/>
              </w:rPr>
              <w:t xml:space="preserve">Delegated Authority Levels: </w:t>
            </w:r>
          </w:p>
          <w:p w14:paraId="6853089C" w14:textId="484BF13C" w:rsidR="00966F24" w:rsidRPr="00E3743A" w:rsidRDefault="00743ED9" w:rsidP="00966F24">
            <w:pPr>
              <w:pStyle w:val="Subtitle"/>
              <w:rPr>
                <w:rFonts w:cstheme="minorHAnsi"/>
                <w:color w:val="auto"/>
                <w:sz w:val="20"/>
                <w:szCs w:val="20"/>
              </w:rPr>
            </w:pPr>
            <w:r w:rsidRPr="00E3743A">
              <w:rPr>
                <w:rFonts w:cstheme="minorHAnsi"/>
                <w:color w:val="auto"/>
                <w:sz w:val="20"/>
                <w:szCs w:val="20"/>
              </w:rPr>
              <w:t>As per the Investment Delegation Policy</w:t>
            </w:r>
          </w:p>
          <w:p w14:paraId="037F6493" w14:textId="77777777" w:rsidR="00966F24" w:rsidRPr="00E3743A" w:rsidRDefault="00966F24" w:rsidP="00966F24">
            <w:pPr>
              <w:rPr>
                <w:rFonts w:asciiTheme="minorHAnsi" w:hAnsiTheme="minorHAnsi" w:cstheme="minorHAnsi"/>
                <w:sz w:val="20"/>
                <w:szCs w:val="20"/>
              </w:rPr>
            </w:pPr>
          </w:p>
          <w:p w14:paraId="10A316F7" w14:textId="28C073EB" w:rsidR="00966F24" w:rsidRPr="00E3743A" w:rsidRDefault="00966F24" w:rsidP="00966F24">
            <w:pPr>
              <w:pStyle w:val="Subtitle"/>
              <w:rPr>
                <w:rFonts w:cstheme="minorHAnsi"/>
                <w:color w:val="auto"/>
                <w:sz w:val="20"/>
                <w:szCs w:val="20"/>
              </w:rPr>
            </w:pPr>
            <w:r w:rsidRPr="00E3743A">
              <w:rPr>
                <w:rFonts w:cstheme="minorHAnsi"/>
                <w:b/>
                <w:color w:val="auto"/>
                <w:sz w:val="20"/>
                <w:szCs w:val="20"/>
              </w:rPr>
              <w:t>Reports to:</w:t>
            </w:r>
            <w:r w:rsidRPr="00E3743A">
              <w:rPr>
                <w:rFonts w:cstheme="minorHAnsi"/>
                <w:color w:val="auto"/>
                <w:sz w:val="20"/>
                <w:szCs w:val="20"/>
              </w:rPr>
              <w:t xml:space="preserve"> </w:t>
            </w:r>
          </w:p>
          <w:p w14:paraId="095A4699" w14:textId="4942019E" w:rsidR="00966F24" w:rsidRPr="00E3743A" w:rsidRDefault="00966F24" w:rsidP="00966F24">
            <w:pPr>
              <w:pStyle w:val="Subtitle"/>
              <w:rPr>
                <w:rFonts w:cstheme="minorHAnsi"/>
                <w:color w:val="auto"/>
                <w:sz w:val="20"/>
                <w:szCs w:val="20"/>
              </w:rPr>
            </w:pPr>
            <w:r w:rsidRPr="00E3743A">
              <w:rPr>
                <w:rFonts w:cstheme="minorHAnsi"/>
                <w:color w:val="auto"/>
                <w:sz w:val="20"/>
                <w:szCs w:val="20"/>
              </w:rPr>
              <w:t>CIO</w:t>
            </w:r>
          </w:p>
          <w:p w14:paraId="0444D64E" w14:textId="77777777" w:rsidR="00966F24" w:rsidRPr="00E3743A" w:rsidRDefault="00966F24" w:rsidP="00966F24">
            <w:pPr>
              <w:rPr>
                <w:rFonts w:asciiTheme="minorHAnsi" w:hAnsiTheme="minorHAnsi" w:cstheme="minorHAnsi"/>
                <w:sz w:val="20"/>
                <w:szCs w:val="20"/>
              </w:rPr>
            </w:pPr>
          </w:p>
          <w:p w14:paraId="67530A09" w14:textId="7A2BC985" w:rsidR="00966F24" w:rsidRPr="00E3743A" w:rsidRDefault="00966F24" w:rsidP="00966F24">
            <w:pPr>
              <w:pStyle w:val="Subtitle"/>
              <w:rPr>
                <w:rFonts w:cstheme="minorHAnsi"/>
                <w:b/>
                <w:color w:val="auto"/>
                <w:sz w:val="20"/>
                <w:szCs w:val="20"/>
              </w:rPr>
            </w:pPr>
            <w:r w:rsidRPr="00E3743A">
              <w:rPr>
                <w:rFonts w:cstheme="minorHAnsi"/>
                <w:b/>
                <w:color w:val="auto"/>
                <w:sz w:val="20"/>
                <w:szCs w:val="20"/>
              </w:rPr>
              <w:t xml:space="preserve">Relationships Internal: </w:t>
            </w:r>
          </w:p>
          <w:p w14:paraId="7D485C1C" w14:textId="5891C17B" w:rsidR="00966F24" w:rsidRPr="00E3743A" w:rsidRDefault="00966F24" w:rsidP="00966F24">
            <w:pPr>
              <w:pStyle w:val="Subtitle"/>
              <w:rPr>
                <w:rFonts w:cstheme="minorHAnsi"/>
                <w:noProof/>
                <w:color w:val="auto"/>
                <w:sz w:val="20"/>
                <w:szCs w:val="20"/>
              </w:rPr>
            </w:pPr>
            <w:r w:rsidRPr="00E3743A">
              <w:rPr>
                <w:rFonts w:cstheme="minorHAnsi"/>
                <w:noProof/>
                <w:color w:val="auto"/>
                <w:sz w:val="20"/>
                <w:szCs w:val="20"/>
              </w:rPr>
              <w:t>Executive Directors, Non-Executive Directors, Heads of Service, Portfolio Managers and other LGPS</w:t>
            </w:r>
            <w:r w:rsidR="00743ED9" w:rsidRPr="00E3743A">
              <w:rPr>
                <w:rFonts w:cstheme="minorHAnsi"/>
                <w:noProof/>
                <w:color w:val="auto"/>
                <w:sz w:val="20"/>
                <w:szCs w:val="20"/>
              </w:rPr>
              <w:t xml:space="preserve"> Central</w:t>
            </w:r>
            <w:r w:rsidRPr="00E3743A">
              <w:rPr>
                <w:rFonts w:cstheme="minorHAnsi"/>
                <w:noProof/>
                <w:color w:val="auto"/>
                <w:sz w:val="20"/>
                <w:szCs w:val="20"/>
              </w:rPr>
              <w:t xml:space="preserve"> </w:t>
            </w:r>
            <w:r w:rsidR="00743ED9" w:rsidRPr="00E3743A">
              <w:rPr>
                <w:rFonts w:cstheme="minorHAnsi"/>
                <w:noProof/>
                <w:color w:val="auto"/>
                <w:sz w:val="20"/>
                <w:szCs w:val="20"/>
              </w:rPr>
              <w:t xml:space="preserve">Limited </w:t>
            </w:r>
            <w:r w:rsidRPr="00E3743A">
              <w:rPr>
                <w:rFonts w:cstheme="minorHAnsi"/>
                <w:noProof/>
                <w:color w:val="auto"/>
                <w:sz w:val="20"/>
                <w:szCs w:val="20"/>
              </w:rPr>
              <w:t>Staff.</w:t>
            </w:r>
          </w:p>
          <w:p w14:paraId="76F0D410" w14:textId="77777777" w:rsidR="00966F24" w:rsidRPr="00E3743A" w:rsidRDefault="00966F24" w:rsidP="00966F24">
            <w:pPr>
              <w:rPr>
                <w:rFonts w:asciiTheme="minorHAnsi" w:hAnsiTheme="minorHAnsi" w:cstheme="minorHAnsi"/>
                <w:sz w:val="20"/>
                <w:szCs w:val="20"/>
              </w:rPr>
            </w:pPr>
          </w:p>
          <w:p w14:paraId="3C0B2C9B" w14:textId="77777777" w:rsidR="00966F24" w:rsidRPr="00E3743A" w:rsidRDefault="00966F24" w:rsidP="00966F24">
            <w:pPr>
              <w:pStyle w:val="Subtitle"/>
              <w:rPr>
                <w:rFonts w:cstheme="minorHAnsi"/>
                <w:b/>
                <w:color w:val="auto"/>
                <w:sz w:val="20"/>
                <w:szCs w:val="20"/>
              </w:rPr>
            </w:pPr>
            <w:r w:rsidRPr="00E3743A">
              <w:rPr>
                <w:rFonts w:cstheme="minorHAnsi"/>
                <w:b/>
                <w:color w:val="auto"/>
                <w:sz w:val="20"/>
                <w:szCs w:val="20"/>
              </w:rPr>
              <w:t>Relationship External:</w:t>
            </w:r>
          </w:p>
          <w:p w14:paraId="72ECBBF9" w14:textId="61F19FC2" w:rsidR="00966F24" w:rsidRPr="00E3743A" w:rsidRDefault="00966F24" w:rsidP="00966F24">
            <w:pPr>
              <w:pStyle w:val="Subtitle"/>
              <w:rPr>
                <w:rFonts w:cstheme="minorHAnsi"/>
                <w:color w:val="auto"/>
                <w:sz w:val="20"/>
                <w:szCs w:val="20"/>
              </w:rPr>
            </w:pPr>
            <w:r w:rsidRPr="00E3743A">
              <w:rPr>
                <w:rFonts w:cstheme="minorHAnsi"/>
                <w:color w:val="auto"/>
                <w:sz w:val="20"/>
                <w:szCs w:val="20"/>
              </w:rPr>
              <w:t>Partner</w:t>
            </w:r>
            <w:r w:rsidR="00743ED9" w:rsidRPr="00E3743A">
              <w:rPr>
                <w:rFonts w:cstheme="minorHAnsi"/>
                <w:color w:val="auto"/>
                <w:sz w:val="20"/>
                <w:szCs w:val="20"/>
              </w:rPr>
              <w:t xml:space="preserve"> funds</w:t>
            </w:r>
            <w:r w:rsidRPr="00E3743A">
              <w:rPr>
                <w:rFonts w:cstheme="minorHAnsi"/>
                <w:color w:val="auto"/>
                <w:sz w:val="20"/>
                <w:szCs w:val="20"/>
              </w:rPr>
              <w:t xml:space="preserve">, Agencies, Suppliers, Legal, </w:t>
            </w:r>
            <w:r w:rsidR="00BE2711" w:rsidRPr="00E3743A">
              <w:rPr>
                <w:rFonts w:cstheme="minorHAnsi"/>
                <w:color w:val="auto"/>
                <w:sz w:val="20"/>
                <w:szCs w:val="20"/>
              </w:rPr>
              <w:t>Private market relationships for funds and co</w:t>
            </w:r>
            <w:r w:rsidR="00FC43EF" w:rsidRPr="00E3743A">
              <w:rPr>
                <w:rFonts w:cstheme="minorHAnsi"/>
                <w:color w:val="auto"/>
                <w:sz w:val="20"/>
                <w:szCs w:val="20"/>
              </w:rPr>
              <w:t>-</w:t>
            </w:r>
            <w:r w:rsidR="00BE2711" w:rsidRPr="00E3743A">
              <w:rPr>
                <w:rFonts w:cstheme="minorHAnsi"/>
                <w:color w:val="auto"/>
                <w:sz w:val="20"/>
                <w:szCs w:val="20"/>
              </w:rPr>
              <w:t>investments</w:t>
            </w:r>
            <w:r w:rsidRPr="00E3743A">
              <w:rPr>
                <w:rFonts w:cstheme="minorHAnsi"/>
                <w:color w:val="auto"/>
                <w:sz w:val="20"/>
                <w:szCs w:val="20"/>
              </w:rPr>
              <w:t xml:space="preserve">, Research providers  </w:t>
            </w:r>
          </w:p>
        </w:tc>
        <w:tc>
          <w:tcPr>
            <w:tcW w:w="5812" w:type="dxa"/>
            <w:gridSpan w:val="2"/>
          </w:tcPr>
          <w:p w14:paraId="575F2940" w14:textId="77777777" w:rsidR="00966F24" w:rsidRPr="002A5F8E" w:rsidRDefault="00966F24" w:rsidP="00966F24">
            <w:pPr>
              <w:tabs>
                <w:tab w:val="left" w:pos="1072"/>
              </w:tabs>
              <w:rPr>
                <w:rFonts w:asciiTheme="minorHAnsi" w:hAnsiTheme="minorHAnsi" w:cstheme="minorHAnsi"/>
                <w:b/>
                <w:sz w:val="20"/>
                <w:szCs w:val="20"/>
              </w:rPr>
            </w:pPr>
            <w:r w:rsidRPr="002A5F8E">
              <w:rPr>
                <w:rFonts w:asciiTheme="minorHAnsi" w:hAnsiTheme="minorHAnsi" w:cstheme="minorHAnsi"/>
                <w:b/>
                <w:sz w:val="20"/>
                <w:szCs w:val="20"/>
              </w:rPr>
              <w:lastRenderedPageBreak/>
              <w:t>Role Responsibilities</w:t>
            </w:r>
          </w:p>
          <w:p w14:paraId="78BE5FFA" w14:textId="77777777" w:rsidR="00966F24" w:rsidRPr="002A5F8E" w:rsidRDefault="00966F24" w:rsidP="00966F24">
            <w:pPr>
              <w:rPr>
                <w:rFonts w:asciiTheme="minorHAnsi" w:hAnsiTheme="minorHAnsi" w:cstheme="minorHAnsi"/>
                <w:sz w:val="20"/>
                <w:szCs w:val="20"/>
              </w:rPr>
            </w:pPr>
          </w:p>
          <w:p w14:paraId="59F5DFBB" w14:textId="094935A1" w:rsidR="00FA17B3" w:rsidRDefault="00FA17B3" w:rsidP="00096F12">
            <w:pPr>
              <w:numPr>
                <w:ilvl w:val="0"/>
                <w:numId w:val="35"/>
              </w:numPr>
              <w:rPr>
                <w:rFonts w:asciiTheme="minorHAnsi" w:hAnsiTheme="minorHAnsi" w:cstheme="minorHAnsi"/>
                <w:sz w:val="20"/>
                <w:szCs w:val="20"/>
              </w:rPr>
            </w:pPr>
            <w:r>
              <w:rPr>
                <w:rFonts w:asciiTheme="minorHAnsi" w:hAnsiTheme="minorHAnsi" w:cstheme="minorHAnsi"/>
                <w:sz w:val="20"/>
                <w:szCs w:val="20"/>
              </w:rPr>
              <w:t>A member of the CIO Office with the DCIO and CIO managing the investments of LGPSC</w:t>
            </w:r>
          </w:p>
          <w:p w14:paraId="3A74F0F5" w14:textId="102AEDEA" w:rsidR="00966F24" w:rsidRPr="00E3743A" w:rsidRDefault="00966F24" w:rsidP="00096F12">
            <w:pPr>
              <w:numPr>
                <w:ilvl w:val="0"/>
                <w:numId w:val="35"/>
              </w:numPr>
              <w:rPr>
                <w:rFonts w:asciiTheme="minorHAnsi" w:hAnsiTheme="minorHAnsi" w:cstheme="minorHAnsi"/>
                <w:sz w:val="20"/>
                <w:szCs w:val="20"/>
              </w:rPr>
            </w:pPr>
            <w:r w:rsidRPr="002A5F8E">
              <w:rPr>
                <w:rFonts w:asciiTheme="minorHAnsi" w:hAnsiTheme="minorHAnsi" w:cstheme="minorHAnsi"/>
                <w:sz w:val="20"/>
                <w:szCs w:val="20"/>
              </w:rPr>
              <w:t>Deliver the shared objectives of LGPS</w:t>
            </w:r>
            <w:r w:rsidR="00743ED9" w:rsidRPr="002A5F8E">
              <w:rPr>
                <w:rFonts w:asciiTheme="minorHAnsi" w:hAnsiTheme="minorHAnsi" w:cstheme="minorHAnsi"/>
                <w:sz w:val="20"/>
                <w:szCs w:val="20"/>
              </w:rPr>
              <w:t xml:space="preserve"> Central Limited</w:t>
            </w:r>
            <w:r w:rsidRPr="002A5F8E">
              <w:rPr>
                <w:rFonts w:asciiTheme="minorHAnsi" w:hAnsiTheme="minorHAnsi" w:cstheme="minorHAnsi"/>
                <w:sz w:val="20"/>
                <w:szCs w:val="20"/>
              </w:rPr>
              <w:t xml:space="preserve"> and </w:t>
            </w:r>
            <w:r w:rsidRPr="00E3743A">
              <w:rPr>
                <w:rFonts w:asciiTheme="minorHAnsi" w:hAnsiTheme="minorHAnsi" w:cstheme="minorHAnsi"/>
                <w:sz w:val="20"/>
                <w:szCs w:val="20"/>
              </w:rPr>
              <w:t>our partner funds focused on improving risk adjusted return after cost and the launch of pooled sub-funds.</w:t>
            </w:r>
          </w:p>
          <w:p w14:paraId="334CB9A7" w14:textId="517A096C" w:rsidR="00966F24" w:rsidRPr="00E3743A" w:rsidRDefault="00676B0C"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Managing and i</w:t>
            </w:r>
            <w:r w:rsidR="00966F24" w:rsidRPr="00E3743A">
              <w:rPr>
                <w:rFonts w:asciiTheme="minorHAnsi" w:hAnsiTheme="minorHAnsi" w:cstheme="minorHAnsi"/>
                <w:sz w:val="20"/>
                <w:szCs w:val="20"/>
              </w:rPr>
              <w:t xml:space="preserve">mproving investment capability and skills of the </w:t>
            </w:r>
            <w:r w:rsidR="00AB3FC6" w:rsidRPr="00E3743A">
              <w:rPr>
                <w:rFonts w:asciiTheme="minorHAnsi" w:hAnsiTheme="minorHAnsi" w:cstheme="minorHAnsi"/>
                <w:sz w:val="20"/>
                <w:szCs w:val="20"/>
              </w:rPr>
              <w:t>private Markets</w:t>
            </w:r>
            <w:r w:rsidR="00966F24" w:rsidRPr="00E3743A">
              <w:rPr>
                <w:rFonts w:asciiTheme="minorHAnsi" w:hAnsiTheme="minorHAnsi" w:cstheme="minorHAnsi"/>
                <w:sz w:val="20"/>
                <w:szCs w:val="20"/>
              </w:rPr>
              <w:t xml:space="preserve"> team</w:t>
            </w:r>
          </w:p>
          <w:p w14:paraId="217AFC8F" w14:textId="1F05348B" w:rsidR="00966F24" w:rsidRPr="00E3743A" w:rsidRDefault="00966F24"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Integrate and maintain the house view on Responsible Investment into the investment process and culture</w:t>
            </w:r>
          </w:p>
          <w:p w14:paraId="0637B8F8" w14:textId="2514AECB" w:rsidR="00966F24" w:rsidRPr="00E3743A" w:rsidRDefault="00966F24"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 xml:space="preserve">Be an ambassador for LGPS Central </w:t>
            </w:r>
            <w:r w:rsidR="00743ED9" w:rsidRPr="00E3743A">
              <w:rPr>
                <w:rFonts w:asciiTheme="minorHAnsi" w:hAnsiTheme="minorHAnsi" w:cstheme="minorHAnsi"/>
                <w:sz w:val="20"/>
                <w:szCs w:val="20"/>
              </w:rPr>
              <w:t xml:space="preserve">Limited </w:t>
            </w:r>
            <w:r w:rsidRPr="00E3743A">
              <w:rPr>
                <w:rFonts w:asciiTheme="minorHAnsi" w:hAnsiTheme="minorHAnsi" w:cstheme="minorHAnsi"/>
                <w:sz w:val="20"/>
                <w:szCs w:val="20"/>
              </w:rPr>
              <w:t>within the investment community, partner funds, and with regulators and key stakeholders</w:t>
            </w:r>
          </w:p>
          <w:p w14:paraId="22BFAC5B" w14:textId="0C212B79" w:rsidR="00966F24" w:rsidRPr="00E3743A" w:rsidRDefault="00CD53FE"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Chair</w:t>
            </w:r>
            <w:r w:rsidR="00153858" w:rsidRPr="00E3743A">
              <w:rPr>
                <w:rFonts w:asciiTheme="minorHAnsi" w:hAnsiTheme="minorHAnsi" w:cstheme="minorHAnsi"/>
                <w:sz w:val="20"/>
                <w:szCs w:val="20"/>
              </w:rPr>
              <w:t>ing</w:t>
            </w:r>
            <w:r w:rsidRPr="00E3743A">
              <w:rPr>
                <w:rFonts w:asciiTheme="minorHAnsi" w:hAnsiTheme="minorHAnsi" w:cstheme="minorHAnsi"/>
                <w:sz w:val="20"/>
                <w:szCs w:val="20"/>
              </w:rPr>
              <w:t xml:space="preserve"> the Private Markets </w:t>
            </w:r>
            <w:r w:rsidR="00153858" w:rsidRPr="00E3743A">
              <w:rPr>
                <w:rFonts w:asciiTheme="minorHAnsi" w:hAnsiTheme="minorHAnsi" w:cstheme="minorHAnsi"/>
                <w:sz w:val="20"/>
                <w:szCs w:val="20"/>
              </w:rPr>
              <w:t>I</w:t>
            </w:r>
            <w:r w:rsidRPr="00E3743A">
              <w:rPr>
                <w:rFonts w:asciiTheme="minorHAnsi" w:hAnsiTheme="minorHAnsi" w:cstheme="minorHAnsi"/>
                <w:sz w:val="20"/>
                <w:szCs w:val="20"/>
              </w:rPr>
              <w:t>nvestment committee</w:t>
            </w:r>
            <w:r w:rsidR="00C62F01" w:rsidRPr="00E3743A">
              <w:rPr>
                <w:rFonts w:asciiTheme="minorHAnsi" w:hAnsiTheme="minorHAnsi" w:cstheme="minorHAnsi"/>
                <w:sz w:val="20"/>
                <w:szCs w:val="20"/>
              </w:rPr>
              <w:t xml:space="preserve"> (PMIC)</w:t>
            </w:r>
            <w:r w:rsidR="008B7A4A" w:rsidRPr="00E3743A">
              <w:rPr>
                <w:rFonts w:asciiTheme="minorHAnsi" w:hAnsiTheme="minorHAnsi" w:cstheme="minorHAnsi"/>
                <w:sz w:val="20"/>
                <w:szCs w:val="20"/>
              </w:rPr>
              <w:t>. T</w:t>
            </w:r>
            <w:r w:rsidR="00966F24" w:rsidRPr="00E3743A">
              <w:rPr>
                <w:rFonts w:asciiTheme="minorHAnsi" w:hAnsiTheme="minorHAnsi" w:cstheme="minorHAnsi"/>
                <w:sz w:val="20"/>
                <w:szCs w:val="20"/>
              </w:rPr>
              <w:t xml:space="preserve">ake direct responsibility for </w:t>
            </w:r>
            <w:r w:rsidRPr="00E3743A">
              <w:rPr>
                <w:rFonts w:asciiTheme="minorHAnsi" w:hAnsiTheme="minorHAnsi" w:cstheme="minorHAnsi"/>
                <w:sz w:val="20"/>
                <w:szCs w:val="20"/>
              </w:rPr>
              <w:t>Private Equity</w:t>
            </w:r>
            <w:r w:rsidR="00966F24" w:rsidRPr="00E3743A">
              <w:rPr>
                <w:rFonts w:asciiTheme="minorHAnsi" w:hAnsiTheme="minorHAnsi" w:cstheme="minorHAnsi"/>
                <w:sz w:val="20"/>
                <w:szCs w:val="20"/>
              </w:rPr>
              <w:t xml:space="preserve"> asset</w:t>
            </w:r>
            <w:r w:rsidR="00C62F01" w:rsidRPr="00E3743A">
              <w:rPr>
                <w:rFonts w:asciiTheme="minorHAnsi" w:hAnsiTheme="minorHAnsi" w:cstheme="minorHAnsi"/>
                <w:sz w:val="20"/>
                <w:szCs w:val="20"/>
              </w:rPr>
              <w:t>s.</w:t>
            </w:r>
          </w:p>
          <w:p w14:paraId="2E43E39F" w14:textId="3A0327F9" w:rsidR="00966F24" w:rsidRPr="00E3743A" w:rsidRDefault="00966F24"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 xml:space="preserve">A member of the Investment Committee (IC) overseeing and advising on </w:t>
            </w:r>
            <w:r w:rsidR="00AF0B46" w:rsidRPr="00E3743A">
              <w:rPr>
                <w:rFonts w:asciiTheme="minorHAnsi" w:hAnsiTheme="minorHAnsi" w:cstheme="minorHAnsi"/>
                <w:sz w:val="20"/>
                <w:szCs w:val="20"/>
              </w:rPr>
              <w:t xml:space="preserve">all </w:t>
            </w:r>
            <w:r w:rsidRPr="00E3743A">
              <w:rPr>
                <w:rFonts w:asciiTheme="minorHAnsi" w:hAnsiTheme="minorHAnsi" w:cstheme="minorHAnsi"/>
                <w:sz w:val="20"/>
                <w:szCs w:val="20"/>
              </w:rPr>
              <w:t>investment portfolios, having significant input to the investment strategy of the pool, and chairing the IC in the absence of the CIO</w:t>
            </w:r>
            <w:r w:rsidR="00C62F01" w:rsidRPr="00E3743A">
              <w:rPr>
                <w:rFonts w:asciiTheme="minorHAnsi" w:hAnsiTheme="minorHAnsi" w:cstheme="minorHAnsi"/>
                <w:sz w:val="20"/>
                <w:szCs w:val="20"/>
              </w:rPr>
              <w:t>/DCIO</w:t>
            </w:r>
          </w:p>
          <w:p w14:paraId="7D8005F4" w14:textId="77777777" w:rsidR="00966F24" w:rsidRPr="007F6049" w:rsidRDefault="00966F24"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Provide assurance that portfolios are managed within the parameters set in the Prospectus/ Segregated mandates</w:t>
            </w:r>
          </w:p>
          <w:p w14:paraId="33714E83" w14:textId="7CF0F398" w:rsidR="00966F24" w:rsidRPr="007F6049" w:rsidRDefault="00966F24"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In conjunction with the CIO</w:t>
            </w:r>
            <w:r w:rsidR="004E5996" w:rsidRPr="007F6049">
              <w:rPr>
                <w:rFonts w:asciiTheme="minorHAnsi" w:hAnsiTheme="minorHAnsi" w:cstheme="minorHAnsi"/>
                <w:sz w:val="20"/>
                <w:szCs w:val="20"/>
              </w:rPr>
              <w:t>/DCIO</w:t>
            </w:r>
            <w:r w:rsidRPr="007F6049">
              <w:rPr>
                <w:rFonts w:asciiTheme="minorHAnsi" w:hAnsiTheme="minorHAnsi" w:cstheme="minorHAnsi"/>
                <w:sz w:val="20"/>
                <w:szCs w:val="20"/>
              </w:rPr>
              <w:t xml:space="preserve"> and Investment Directors, devise and deliver a transparent and repeatable investment process th</w:t>
            </w:r>
            <w:r w:rsidR="00A33ACB" w:rsidRPr="007F6049">
              <w:rPr>
                <w:rFonts w:asciiTheme="minorHAnsi" w:hAnsiTheme="minorHAnsi" w:cstheme="minorHAnsi"/>
                <w:sz w:val="20"/>
                <w:szCs w:val="20"/>
              </w:rPr>
              <w:t>at</w:t>
            </w:r>
            <w:r w:rsidRPr="007F6049">
              <w:rPr>
                <w:rFonts w:asciiTheme="minorHAnsi" w:hAnsiTheme="minorHAnsi" w:cstheme="minorHAnsi"/>
                <w:sz w:val="20"/>
                <w:szCs w:val="20"/>
              </w:rPr>
              <w:t xml:space="preserve"> follows the LGPS Central </w:t>
            </w:r>
            <w:r w:rsidR="00743ED9" w:rsidRPr="007F6049">
              <w:rPr>
                <w:rFonts w:asciiTheme="minorHAnsi" w:hAnsiTheme="minorHAnsi" w:cstheme="minorHAnsi"/>
                <w:sz w:val="20"/>
                <w:szCs w:val="20"/>
              </w:rPr>
              <w:t xml:space="preserve">Limited </w:t>
            </w:r>
            <w:r w:rsidRPr="007F6049">
              <w:rPr>
                <w:rFonts w:asciiTheme="minorHAnsi" w:hAnsiTheme="minorHAnsi" w:cstheme="minorHAnsi"/>
                <w:sz w:val="20"/>
                <w:szCs w:val="20"/>
              </w:rPr>
              <w:t>policies</w:t>
            </w:r>
          </w:p>
          <w:p w14:paraId="1CDDCE96" w14:textId="2AE4A2C9" w:rsidR="00966F24" w:rsidRPr="007F6049" w:rsidRDefault="00743ED9"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Implement and manage</w:t>
            </w:r>
            <w:r w:rsidR="00966F24" w:rsidRPr="007F6049">
              <w:rPr>
                <w:rFonts w:asciiTheme="minorHAnsi" w:hAnsiTheme="minorHAnsi" w:cstheme="minorHAnsi"/>
                <w:sz w:val="20"/>
                <w:szCs w:val="20"/>
              </w:rPr>
              <w:t xml:space="preserve"> risk and compliance in accordance with the Risk and Compliance Framework</w:t>
            </w:r>
            <w:r w:rsidRPr="007F6049">
              <w:rPr>
                <w:rFonts w:asciiTheme="minorHAnsi" w:hAnsiTheme="minorHAnsi" w:cstheme="minorHAnsi"/>
                <w:sz w:val="20"/>
                <w:szCs w:val="20"/>
              </w:rPr>
              <w:t xml:space="preserve"> in collaboration with the CCRO and General Counsel.</w:t>
            </w:r>
          </w:p>
          <w:p w14:paraId="788A298F" w14:textId="1C00E9FF" w:rsidR="00966F24" w:rsidRPr="007F6049" w:rsidRDefault="00966F24"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lastRenderedPageBreak/>
              <w:t xml:space="preserve">Embed a culture of high performing, collaborative, </w:t>
            </w:r>
            <w:r w:rsidR="007C258C" w:rsidRPr="007F6049">
              <w:rPr>
                <w:rFonts w:asciiTheme="minorHAnsi" w:hAnsiTheme="minorHAnsi" w:cstheme="minorHAnsi"/>
                <w:sz w:val="20"/>
                <w:szCs w:val="20"/>
              </w:rPr>
              <w:t>research-based</w:t>
            </w:r>
            <w:r w:rsidRPr="007F6049">
              <w:rPr>
                <w:rFonts w:asciiTheme="minorHAnsi" w:hAnsiTheme="minorHAnsi" w:cstheme="minorHAnsi"/>
                <w:sz w:val="20"/>
                <w:szCs w:val="20"/>
              </w:rPr>
              <w:t xml:space="preserve"> investing across LGPS Central</w:t>
            </w:r>
            <w:r w:rsidR="008F18ED" w:rsidRPr="007F6049">
              <w:rPr>
                <w:rFonts w:asciiTheme="minorHAnsi" w:hAnsiTheme="minorHAnsi" w:cstheme="minorHAnsi"/>
                <w:sz w:val="20"/>
                <w:szCs w:val="20"/>
              </w:rPr>
              <w:t xml:space="preserve"> Limited</w:t>
            </w:r>
          </w:p>
          <w:p w14:paraId="6F8CFAFE" w14:textId="77777777" w:rsidR="008F18ED" w:rsidRPr="007F6049" w:rsidRDefault="008F18ED"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Embarking on an appropriate first line of defence control framework within the Investment Team</w:t>
            </w:r>
          </w:p>
          <w:p w14:paraId="4796C990" w14:textId="65EA8DFA" w:rsidR="00EF6833" w:rsidRPr="0009166E" w:rsidRDefault="00EF6833"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Overs</w:t>
            </w:r>
            <w:r w:rsidR="009D6E45" w:rsidRPr="0009166E">
              <w:rPr>
                <w:rFonts w:asciiTheme="minorHAnsi" w:hAnsiTheme="minorHAnsi" w:cstheme="minorHAnsi"/>
                <w:sz w:val="20"/>
                <w:szCs w:val="20"/>
              </w:rPr>
              <w:t>eeing</w:t>
            </w:r>
            <w:r w:rsidRPr="0009166E">
              <w:rPr>
                <w:rFonts w:asciiTheme="minorHAnsi" w:hAnsiTheme="minorHAnsi" w:cstheme="minorHAnsi"/>
                <w:sz w:val="20"/>
                <w:szCs w:val="20"/>
              </w:rPr>
              <w:t xml:space="preserve"> </w:t>
            </w:r>
            <w:r w:rsidR="009D6E45" w:rsidRPr="0009166E">
              <w:rPr>
                <w:rFonts w:asciiTheme="minorHAnsi" w:hAnsiTheme="minorHAnsi" w:cstheme="minorHAnsi"/>
                <w:sz w:val="20"/>
                <w:szCs w:val="20"/>
              </w:rPr>
              <w:t>and</w:t>
            </w:r>
            <w:r w:rsidRPr="0009166E">
              <w:rPr>
                <w:rFonts w:asciiTheme="minorHAnsi" w:hAnsiTheme="minorHAnsi" w:cstheme="minorHAnsi"/>
                <w:sz w:val="20"/>
                <w:szCs w:val="20"/>
              </w:rPr>
              <w:t xml:space="preserve"> </w:t>
            </w:r>
            <w:r w:rsidR="009D6E45" w:rsidRPr="0009166E">
              <w:rPr>
                <w:rFonts w:asciiTheme="minorHAnsi" w:hAnsiTheme="minorHAnsi" w:cstheme="minorHAnsi"/>
                <w:sz w:val="20"/>
                <w:szCs w:val="20"/>
              </w:rPr>
              <w:t>managing</w:t>
            </w:r>
            <w:r w:rsidRPr="0009166E">
              <w:rPr>
                <w:rFonts w:asciiTheme="minorHAnsi" w:hAnsiTheme="minorHAnsi" w:cstheme="minorHAnsi"/>
                <w:sz w:val="20"/>
                <w:szCs w:val="20"/>
              </w:rPr>
              <w:t xml:space="preserve"> the existing and new Private Market portfolios working with the investment directors and senior portfolio managers</w:t>
            </w:r>
          </w:p>
          <w:p w14:paraId="13501311" w14:textId="786C5DD7" w:rsidR="00096F12" w:rsidRPr="0009166E" w:rsidRDefault="007F6049"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Responsibility</w:t>
            </w:r>
            <w:r w:rsidR="00F41325" w:rsidRPr="0009166E">
              <w:rPr>
                <w:rFonts w:asciiTheme="minorHAnsi" w:hAnsiTheme="minorHAnsi" w:cstheme="minorHAnsi"/>
                <w:sz w:val="20"/>
                <w:szCs w:val="20"/>
              </w:rPr>
              <w:t xml:space="preserve"> for</w:t>
            </w:r>
            <w:r w:rsidR="00096F12" w:rsidRPr="0009166E">
              <w:rPr>
                <w:rFonts w:asciiTheme="minorHAnsi" w:hAnsiTheme="minorHAnsi" w:cstheme="minorHAnsi"/>
                <w:sz w:val="20"/>
                <w:szCs w:val="20"/>
              </w:rPr>
              <w:t xml:space="preserve"> </w:t>
            </w:r>
            <w:r w:rsidR="00CA1DA0" w:rsidRPr="0009166E">
              <w:rPr>
                <w:rFonts w:asciiTheme="minorHAnsi" w:hAnsiTheme="minorHAnsi" w:cstheme="minorHAnsi"/>
                <w:sz w:val="20"/>
                <w:szCs w:val="20"/>
              </w:rPr>
              <w:t>o</w:t>
            </w:r>
            <w:r w:rsidR="00096F12" w:rsidRPr="0009166E">
              <w:rPr>
                <w:rFonts w:asciiTheme="minorHAnsi" w:hAnsiTheme="minorHAnsi" w:cstheme="minorHAnsi"/>
                <w:sz w:val="20"/>
                <w:szCs w:val="20"/>
              </w:rPr>
              <w:t xml:space="preserve">rigination, </w:t>
            </w:r>
            <w:r w:rsidR="00CA1DA0" w:rsidRPr="0009166E">
              <w:rPr>
                <w:rFonts w:asciiTheme="minorHAnsi" w:hAnsiTheme="minorHAnsi" w:cstheme="minorHAnsi"/>
                <w:sz w:val="20"/>
                <w:szCs w:val="20"/>
              </w:rPr>
              <w:t>a</w:t>
            </w:r>
            <w:r w:rsidR="00096F12" w:rsidRPr="0009166E">
              <w:rPr>
                <w:rFonts w:asciiTheme="minorHAnsi" w:hAnsiTheme="minorHAnsi" w:cstheme="minorHAnsi"/>
                <w:sz w:val="20"/>
                <w:szCs w:val="20"/>
              </w:rPr>
              <w:t xml:space="preserve">nalysis, </w:t>
            </w:r>
            <w:r w:rsidR="00CA1DA0" w:rsidRPr="0009166E">
              <w:rPr>
                <w:rFonts w:asciiTheme="minorHAnsi" w:hAnsiTheme="minorHAnsi" w:cstheme="minorHAnsi"/>
                <w:sz w:val="20"/>
                <w:szCs w:val="20"/>
              </w:rPr>
              <w:t>d</w:t>
            </w:r>
            <w:r w:rsidR="00096F12" w:rsidRPr="0009166E">
              <w:rPr>
                <w:rFonts w:asciiTheme="minorHAnsi" w:hAnsiTheme="minorHAnsi" w:cstheme="minorHAnsi"/>
                <w:sz w:val="20"/>
                <w:szCs w:val="20"/>
              </w:rPr>
              <w:t xml:space="preserve">ue </w:t>
            </w:r>
            <w:r w:rsidR="00CA1DA0" w:rsidRPr="0009166E">
              <w:rPr>
                <w:rFonts w:asciiTheme="minorHAnsi" w:hAnsiTheme="minorHAnsi" w:cstheme="minorHAnsi"/>
                <w:sz w:val="20"/>
                <w:szCs w:val="20"/>
              </w:rPr>
              <w:t>d</w:t>
            </w:r>
            <w:r w:rsidR="00096F12" w:rsidRPr="0009166E">
              <w:rPr>
                <w:rFonts w:asciiTheme="minorHAnsi" w:hAnsiTheme="minorHAnsi" w:cstheme="minorHAnsi"/>
                <w:sz w:val="20"/>
                <w:szCs w:val="20"/>
              </w:rPr>
              <w:t>iligence (both on and off-site), legal review and negotiation (working with internal and external counsel), execution, and post-execution active monitoring and management of Primary Fund Investments</w:t>
            </w:r>
          </w:p>
          <w:p w14:paraId="473B734C" w14:textId="07BC4C67"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Working with the Finance and Operations team to ensure Capital and Expense Calls, Distributions, and Investment/Fund related expenses are efficiently processed</w:t>
            </w:r>
          </w:p>
          <w:p w14:paraId="4EC3118F" w14:textId="77777777"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Review and analysis of ESG risks for any Primary Fund and Direct, Co-Investments being underwritten (working closely with the in-house Responsible Investment Team)</w:t>
            </w:r>
          </w:p>
          <w:p w14:paraId="2C858AD2" w14:textId="77777777"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As a team, actively monitor, manage, and advise on the Private market portfolios of Partner Funds. This includes advising on possible consolidations, secondary sales, attending External Manager meetings, Annual Investors Meetings, and ad-hoc calls/meetings with External Managers;</w:t>
            </w:r>
          </w:p>
          <w:p w14:paraId="1A2B5509" w14:textId="20827F4A"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 xml:space="preserve">Representing the LGPS Central Pool portfolio interests on investor advisory </w:t>
            </w:r>
            <w:r w:rsidR="007F6049" w:rsidRPr="0009166E">
              <w:rPr>
                <w:rFonts w:asciiTheme="minorHAnsi" w:hAnsiTheme="minorHAnsi" w:cstheme="minorHAnsi"/>
                <w:sz w:val="20"/>
                <w:szCs w:val="20"/>
              </w:rPr>
              <w:t>boards of</w:t>
            </w:r>
            <w:r w:rsidRPr="0009166E">
              <w:rPr>
                <w:rFonts w:asciiTheme="minorHAnsi" w:hAnsiTheme="minorHAnsi" w:cstheme="minorHAnsi"/>
                <w:sz w:val="20"/>
                <w:szCs w:val="20"/>
              </w:rPr>
              <w:t xml:space="preserve"> External </w:t>
            </w:r>
            <w:r w:rsidR="007F6049" w:rsidRPr="0009166E">
              <w:rPr>
                <w:rFonts w:asciiTheme="minorHAnsi" w:hAnsiTheme="minorHAnsi" w:cstheme="minorHAnsi"/>
                <w:sz w:val="20"/>
                <w:szCs w:val="20"/>
              </w:rPr>
              <w:t>Funds;</w:t>
            </w:r>
          </w:p>
          <w:p w14:paraId="63A1384B" w14:textId="63EFEAA4" w:rsidR="00EF6833" w:rsidRPr="006D4056" w:rsidRDefault="00096F12" w:rsidP="00EF6833">
            <w:pPr>
              <w:pStyle w:val="ListParagraph"/>
              <w:numPr>
                <w:ilvl w:val="0"/>
                <w:numId w:val="35"/>
              </w:numPr>
              <w:spacing w:after="160" w:line="259" w:lineRule="auto"/>
              <w:rPr>
                <w:rFonts w:asciiTheme="minorHAnsi" w:hAnsiTheme="minorHAnsi" w:cstheme="minorHAnsi"/>
                <w:sz w:val="20"/>
                <w:szCs w:val="20"/>
              </w:rPr>
            </w:pPr>
            <w:r w:rsidRPr="006D4056">
              <w:rPr>
                <w:rFonts w:asciiTheme="minorHAnsi" w:hAnsiTheme="minorHAnsi" w:cstheme="minorHAnsi"/>
                <w:sz w:val="20"/>
                <w:szCs w:val="20"/>
              </w:rPr>
              <w:t xml:space="preserve">Development and launch of future LGPS Central Private Markets Funds. Tasks include negotiation of requirements with investors, specification of mandates, business case development, legal set up, IT systems and controls. </w:t>
            </w:r>
          </w:p>
        </w:tc>
        <w:tc>
          <w:tcPr>
            <w:tcW w:w="4510" w:type="dxa"/>
            <w:gridSpan w:val="2"/>
            <w:shd w:val="clear" w:color="auto" w:fill="auto"/>
          </w:tcPr>
          <w:p w14:paraId="3AF99154" w14:textId="23B105E9" w:rsidR="00966F24" w:rsidRPr="002E4885" w:rsidRDefault="00966F24" w:rsidP="00966F24">
            <w:pPr>
              <w:pStyle w:val="Subtitle"/>
              <w:rPr>
                <w:rFonts w:ascii="Calibri" w:hAnsi="Calibri" w:cs="Calibri"/>
                <w:b/>
                <w:color w:val="auto"/>
                <w:sz w:val="20"/>
                <w:szCs w:val="20"/>
              </w:rPr>
            </w:pPr>
            <w:r w:rsidRPr="002E4885">
              <w:rPr>
                <w:rFonts w:ascii="Calibri" w:hAnsi="Calibri" w:cs="Calibri"/>
                <w:b/>
                <w:color w:val="auto"/>
                <w:sz w:val="20"/>
                <w:szCs w:val="20"/>
              </w:rPr>
              <w:lastRenderedPageBreak/>
              <w:t>Skills/Knowledge/Experience/Competence:</w:t>
            </w:r>
          </w:p>
          <w:p w14:paraId="7DDE440B" w14:textId="13A88F80" w:rsidR="00E4690E" w:rsidRPr="002E4885" w:rsidRDefault="007C258C" w:rsidP="00E4690E">
            <w:pPr>
              <w:numPr>
                <w:ilvl w:val="0"/>
                <w:numId w:val="37"/>
              </w:numPr>
              <w:rPr>
                <w:rFonts w:ascii="Calibri" w:hAnsi="Calibri" w:cs="Calibri"/>
                <w:sz w:val="20"/>
                <w:szCs w:val="20"/>
              </w:rPr>
            </w:pPr>
            <w:r w:rsidRPr="002E4885">
              <w:rPr>
                <w:rFonts w:ascii="Calibri" w:hAnsi="Calibri" w:cs="Calibri"/>
                <w:sz w:val="20"/>
                <w:szCs w:val="20"/>
              </w:rPr>
              <w:t>Significant</w:t>
            </w:r>
            <w:r w:rsidR="00E4690E" w:rsidRPr="002E4885">
              <w:rPr>
                <w:rFonts w:ascii="Calibri" w:hAnsi="Calibri" w:cs="Calibri"/>
                <w:sz w:val="20"/>
                <w:szCs w:val="20"/>
              </w:rPr>
              <w:t xml:space="preserve"> experience of investment decision making</w:t>
            </w:r>
            <w:r w:rsidR="00FC43EF" w:rsidRPr="002E4885">
              <w:rPr>
                <w:rFonts w:ascii="Calibri" w:hAnsi="Calibri" w:cs="Calibri"/>
                <w:sz w:val="20"/>
                <w:szCs w:val="20"/>
              </w:rPr>
              <w:t xml:space="preserve"> in Private Markets</w:t>
            </w:r>
            <w:r w:rsidR="00852BA0" w:rsidRPr="002E4885">
              <w:rPr>
                <w:rFonts w:ascii="Calibri" w:hAnsi="Calibri" w:cs="Calibri"/>
                <w:sz w:val="20"/>
                <w:szCs w:val="20"/>
              </w:rPr>
              <w:t xml:space="preserve"> and Private Equity in particular. </w:t>
            </w:r>
          </w:p>
          <w:p w14:paraId="52E55F98" w14:textId="77777777" w:rsidR="00E4690E" w:rsidRPr="002E4885" w:rsidRDefault="00E4690E" w:rsidP="00E4690E">
            <w:pPr>
              <w:numPr>
                <w:ilvl w:val="0"/>
                <w:numId w:val="37"/>
              </w:numPr>
              <w:rPr>
                <w:rFonts w:ascii="Calibri" w:hAnsi="Calibri" w:cs="Calibri"/>
                <w:sz w:val="20"/>
                <w:szCs w:val="20"/>
              </w:rPr>
            </w:pPr>
            <w:r w:rsidRPr="002E4885">
              <w:rPr>
                <w:rFonts w:ascii="Calibri" w:hAnsi="Calibri" w:cs="Calibri"/>
                <w:sz w:val="20"/>
                <w:szCs w:val="20"/>
              </w:rPr>
              <w:t>Demonstrates portfolio construction and investment selection skills</w:t>
            </w:r>
          </w:p>
          <w:p w14:paraId="44911EF6" w14:textId="77777777" w:rsidR="00E4690E" w:rsidRPr="002E4885" w:rsidRDefault="00E4690E" w:rsidP="00E4690E">
            <w:pPr>
              <w:numPr>
                <w:ilvl w:val="0"/>
                <w:numId w:val="37"/>
              </w:numPr>
              <w:rPr>
                <w:rFonts w:ascii="Calibri" w:hAnsi="Calibri" w:cs="Calibri"/>
                <w:sz w:val="20"/>
                <w:szCs w:val="20"/>
              </w:rPr>
            </w:pPr>
            <w:r w:rsidRPr="002E4885">
              <w:rPr>
                <w:rFonts w:ascii="Calibri" w:hAnsi="Calibri" w:cs="Calibri"/>
                <w:sz w:val="20"/>
                <w:szCs w:val="20"/>
              </w:rPr>
              <w:t>Experience of management and oversight of investment portfolios</w:t>
            </w:r>
          </w:p>
          <w:p w14:paraId="0E5DADEB" w14:textId="77777777" w:rsidR="00E4690E" w:rsidRPr="002E4885" w:rsidRDefault="00E4690E" w:rsidP="00E4690E">
            <w:pPr>
              <w:numPr>
                <w:ilvl w:val="0"/>
                <w:numId w:val="37"/>
              </w:numPr>
              <w:rPr>
                <w:rFonts w:ascii="Calibri" w:hAnsi="Calibri" w:cs="Calibri"/>
                <w:sz w:val="20"/>
                <w:szCs w:val="20"/>
              </w:rPr>
            </w:pPr>
            <w:r w:rsidRPr="002E4885">
              <w:rPr>
                <w:rFonts w:ascii="Calibri" w:hAnsi="Calibri" w:cs="Calibri"/>
                <w:sz w:val="20"/>
                <w:szCs w:val="20"/>
              </w:rPr>
              <w:t>Has run and developed high performing teams</w:t>
            </w:r>
          </w:p>
          <w:p w14:paraId="2EFB92DB" w14:textId="77777777" w:rsidR="00E4690E" w:rsidRPr="002E4885" w:rsidRDefault="00E4690E" w:rsidP="00E4690E">
            <w:pPr>
              <w:numPr>
                <w:ilvl w:val="0"/>
                <w:numId w:val="34"/>
              </w:numPr>
              <w:rPr>
                <w:rFonts w:ascii="Calibri" w:hAnsi="Calibri" w:cs="Calibri"/>
                <w:sz w:val="20"/>
                <w:szCs w:val="20"/>
              </w:rPr>
            </w:pPr>
            <w:r w:rsidRPr="002E4885">
              <w:rPr>
                <w:rFonts w:ascii="Calibri" w:hAnsi="Calibri" w:cs="Calibri"/>
                <w:sz w:val="20"/>
                <w:szCs w:val="20"/>
              </w:rPr>
              <w:t>High degree of professional ethics, integrity and gravitas</w:t>
            </w:r>
          </w:p>
          <w:p w14:paraId="043D9542" w14:textId="77777777" w:rsidR="00E4690E" w:rsidRPr="002E4885" w:rsidRDefault="00E4690E" w:rsidP="00E4690E">
            <w:pPr>
              <w:numPr>
                <w:ilvl w:val="0"/>
                <w:numId w:val="34"/>
              </w:numPr>
              <w:rPr>
                <w:rFonts w:ascii="Calibri" w:hAnsi="Calibri" w:cs="Calibri"/>
                <w:sz w:val="20"/>
                <w:szCs w:val="20"/>
              </w:rPr>
            </w:pPr>
            <w:r w:rsidRPr="002E4885">
              <w:rPr>
                <w:rFonts w:ascii="Calibri" w:hAnsi="Calibri" w:cs="Calibri"/>
                <w:sz w:val="20"/>
                <w:szCs w:val="20"/>
              </w:rPr>
              <w:t>Excellent judgement and analytical skills</w:t>
            </w:r>
          </w:p>
          <w:p w14:paraId="1D988558" w14:textId="7801C6C7" w:rsidR="00BE121B" w:rsidRPr="002E4885" w:rsidRDefault="00E4690E" w:rsidP="00BE121B">
            <w:pPr>
              <w:pStyle w:val="ListParagraph"/>
              <w:numPr>
                <w:ilvl w:val="0"/>
                <w:numId w:val="34"/>
              </w:numPr>
              <w:rPr>
                <w:rFonts w:ascii="Calibri" w:hAnsi="Calibri" w:cs="Calibri"/>
                <w:sz w:val="20"/>
                <w:szCs w:val="20"/>
              </w:rPr>
            </w:pPr>
            <w:r w:rsidRPr="002E4885">
              <w:rPr>
                <w:rFonts w:ascii="Calibri" w:hAnsi="Calibri" w:cs="Calibri"/>
                <w:sz w:val="20"/>
                <w:szCs w:val="20"/>
              </w:rPr>
              <w:t>First class interpersonal, people management and communication skill</w:t>
            </w:r>
            <w:r w:rsidR="00BE121B" w:rsidRPr="002E4885">
              <w:rPr>
                <w:rFonts w:ascii="Calibri" w:hAnsi="Calibri" w:cs="Calibri"/>
                <w:sz w:val="20"/>
                <w:szCs w:val="20"/>
              </w:rPr>
              <w:t>s</w:t>
            </w:r>
          </w:p>
          <w:p w14:paraId="748A515D" w14:textId="55A1DEBD" w:rsidR="00966F24" w:rsidRPr="00A72D3C" w:rsidRDefault="00966F24" w:rsidP="00A72D3C">
            <w:pPr>
              <w:pStyle w:val="Subtitle"/>
              <w:numPr>
                <w:ilvl w:val="0"/>
                <w:numId w:val="33"/>
              </w:numPr>
              <w:rPr>
                <w:rFonts w:ascii="Calibri" w:hAnsi="Calibri" w:cs="Calibri"/>
                <w:color w:val="auto"/>
                <w:sz w:val="20"/>
                <w:szCs w:val="20"/>
              </w:rPr>
            </w:pPr>
            <w:r w:rsidRPr="002E4885">
              <w:rPr>
                <w:rFonts w:ascii="Calibri" w:hAnsi="Calibri" w:cs="Calibri"/>
                <w:color w:val="auto"/>
                <w:sz w:val="20"/>
                <w:szCs w:val="20"/>
              </w:rPr>
              <w:t>Well-developed partnering skills, including building personal credibility and professionalism</w:t>
            </w:r>
            <w:r w:rsidR="00A72D3C">
              <w:rPr>
                <w:rFonts w:ascii="Calibri" w:hAnsi="Calibri" w:cs="Calibri"/>
                <w:color w:val="auto"/>
                <w:sz w:val="20"/>
                <w:szCs w:val="20"/>
              </w:rPr>
              <w:t xml:space="preserve">                                                                                                                                       </w:t>
            </w:r>
          </w:p>
          <w:p w14:paraId="67C51AEA" w14:textId="57ADB84E" w:rsidR="00966F24" w:rsidRPr="00423DEC" w:rsidRDefault="00966F24" w:rsidP="00966F24">
            <w:pPr>
              <w:pStyle w:val="Subtitle"/>
              <w:numPr>
                <w:ilvl w:val="0"/>
                <w:numId w:val="33"/>
              </w:numPr>
              <w:rPr>
                <w:rFonts w:ascii="Calibri" w:hAnsi="Calibri" w:cs="Calibri"/>
                <w:color w:val="auto"/>
                <w:sz w:val="20"/>
                <w:szCs w:val="20"/>
              </w:rPr>
            </w:pPr>
            <w:r w:rsidRPr="00423DEC">
              <w:rPr>
                <w:rFonts w:ascii="Calibri" w:hAnsi="Calibri" w:cs="Calibri"/>
                <w:color w:val="auto"/>
                <w:sz w:val="20"/>
                <w:szCs w:val="20"/>
              </w:rPr>
              <w:t>Ability and confidence to draw out and effectively manage conflict/challenge</w:t>
            </w:r>
          </w:p>
          <w:p w14:paraId="078311DB" w14:textId="77777777" w:rsidR="00966F24" w:rsidRPr="00423DEC" w:rsidRDefault="00966F24" w:rsidP="00966F24">
            <w:pPr>
              <w:pStyle w:val="Subtitle"/>
              <w:numPr>
                <w:ilvl w:val="0"/>
                <w:numId w:val="33"/>
              </w:numPr>
              <w:rPr>
                <w:rFonts w:ascii="Calibri" w:hAnsi="Calibri" w:cs="Calibri"/>
                <w:color w:val="auto"/>
                <w:sz w:val="20"/>
                <w:szCs w:val="20"/>
              </w:rPr>
            </w:pPr>
            <w:r w:rsidRPr="00423DEC">
              <w:rPr>
                <w:rFonts w:ascii="Calibri" w:hAnsi="Calibri" w:cs="Calibri"/>
                <w:color w:val="auto"/>
                <w:sz w:val="20"/>
                <w:szCs w:val="20"/>
              </w:rPr>
              <w:t>Substantial relevant experience of collaborative investment decision making and portfolio management at a senior level.</w:t>
            </w:r>
          </w:p>
          <w:p w14:paraId="1743387E" w14:textId="212B22B5" w:rsidR="00966F24" w:rsidRPr="002E4885" w:rsidRDefault="00966F24" w:rsidP="00966F24">
            <w:pPr>
              <w:pStyle w:val="Subtitle"/>
              <w:numPr>
                <w:ilvl w:val="0"/>
                <w:numId w:val="33"/>
              </w:numPr>
              <w:rPr>
                <w:rFonts w:ascii="Calibri" w:hAnsi="Calibri" w:cs="Calibri"/>
                <w:color w:val="auto"/>
                <w:sz w:val="20"/>
                <w:szCs w:val="20"/>
              </w:rPr>
            </w:pPr>
            <w:r w:rsidRPr="002E4885">
              <w:rPr>
                <w:rFonts w:ascii="Calibri" w:hAnsi="Calibri" w:cs="Calibri"/>
                <w:color w:val="auto"/>
                <w:sz w:val="20"/>
                <w:szCs w:val="20"/>
              </w:rPr>
              <w:lastRenderedPageBreak/>
              <w:t xml:space="preserve">Can evaluate performance and risk of investment portfolios objectively. </w:t>
            </w:r>
            <w:r w:rsidRPr="002E4885">
              <w:rPr>
                <w:rFonts w:ascii="Calibri" w:hAnsi="Calibri" w:cs="Calibri"/>
                <w:noProof/>
                <w:color w:val="auto"/>
                <w:sz w:val="20"/>
                <w:szCs w:val="20"/>
              </w:rPr>
              <w:drawing>
                <wp:inline distT="0" distB="0" distL="0" distR="0" wp14:anchorId="2CFBAF8E" wp14:editId="4E8A9D6C">
                  <wp:extent cx="36578" cy="12193"/>
                  <wp:effectExtent l="0" t="0" r="0" b="0"/>
                  <wp:docPr id="10050" name="Picture 10050"/>
                  <wp:cNvGraphicFramePr/>
                  <a:graphic xmlns:a="http://schemas.openxmlformats.org/drawingml/2006/main">
                    <a:graphicData uri="http://schemas.openxmlformats.org/drawingml/2006/picture">
                      <pic:pic xmlns:pic="http://schemas.openxmlformats.org/drawingml/2006/picture">
                        <pic:nvPicPr>
                          <pic:cNvPr id="10050" name="Picture 10050"/>
                          <pic:cNvPicPr/>
                        </pic:nvPicPr>
                        <pic:blipFill>
                          <a:blip r:embed="rId11"/>
                          <a:stretch>
                            <a:fillRect/>
                          </a:stretch>
                        </pic:blipFill>
                        <pic:spPr>
                          <a:xfrm>
                            <a:off x="0" y="0"/>
                            <a:ext cx="36578" cy="12193"/>
                          </a:xfrm>
                          <a:prstGeom prst="rect">
                            <a:avLst/>
                          </a:prstGeom>
                        </pic:spPr>
                      </pic:pic>
                    </a:graphicData>
                  </a:graphic>
                </wp:inline>
              </w:drawing>
            </w:r>
            <w:r w:rsidRPr="002E4885">
              <w:rPr>
                <w:rFonts w:ascii="Calibri" w:hAnsi="Calibri" w:cs="Calibri"/>
                <w:color w:val="auto"/>
                <w:sz w:val="20"/>
                <w:szCs w:val="20"/>
              </w:rPr>
              <w:t>Experience of management and oversight of internal and external investment portfolios across multiple asset classes.</w:t>
            </w:r>
          </w:p>
          <w:p w14:paraId="3E846F70" w14:textId="3DBD7187" w:rsidR="00966F24" w:rsidRPr="002E4885" w:rsidRDefault="00966F24" w:rsidP="00966F24">
            <w:pPr>
              <w:pStyle w:val="Subtitle"/>
              <w:numPr>
                <w:ilvl w:val="0"/>
                <w:numId w:val="33"/>
              </w:numPr>
              <w:rPr>
                <w:rFonts w:ascii="Calibri" w:hAnsi="Calibri" w:cs="Calibri"/>
                <w:color w:val="auto"/>
                <w:sz w:val="20"/>
                <w:szCs w:val="20"/>
              </w:rPr>
            </w:pPr>
            <w:r w:rsidRPr="002E4885">
              <w:rPr>
                <w:rFonts w:ascii="Calibri" w:hAnsi="Calibri" w:cs="Calibri"/>
                <w:color w:val="auto"/>
                <w:sz w:val="20"/>
                <w:szCs w:val="20"/>
              </w:rPr>
              <w:t>Excellent judgement and analytical skills.</w:t>
            </w:r>
          </w:p>
          <w:p w14:paraId="7F81370E" w14:textId="77777777" w:rsidR="00966F24" w:rsidRPr="002E4885" w:rsidRDefault="00966F24" w:rsidP="00966F24">
            <w:pPr>
              <w:pStyle w:val="Subtitle"/>
              <w:rPr>
                <w:rFonts w:ascii="Calibri" w:hAnsi="Calibri" w:cs="Calibri"/>
                <w:bCs/>
                <w:color w:val="auto"/>
                <w:sz w:val="20"/>
                <w:szCs w:val="20"/>
              </w:rPr>
            </w:pPr>
          </w:p>
          <w:p w14:paraId="3A6FD493" w14:textId="46AAB043" w:rsidR="00966F24" w:rsidRPr="002E4885" w:rsidRDefault="00966F24" w:rsidP="00966F24">
            <w:pPr>
              <w:pStyle w:val="Subtitle"/>
              <w:rPr>
                <w:rFonts w:ascii="Calibri" w:hAnsi="Calibri" w:cs="Calibri"/>
                <w:b/>
                <w:color w:val="auto"/>
                <w:sz w:val="20"/>
                <w:szCs w:val="20"/>
              </w:rPr>
            </w:pPr>
            <w:r w:rsidRPr="002E4885">
              <w:rPr>
                <w:rFonts w:ascii="Calibri" w:hAnsi="Calibri" w:cs="Calibri"/>
                <w:b/>
                <w:color w:val="auto"/>
                <w:sz w:val="20"/>
                <w:szCs w:val="20"/>
              </w:rPr>
              <w:t>Qualifications:</w:t>
            </w:r>
          </w:p>
          <w:p w14:paraId="388D0E99" w14:textId="77777777" w:rsidR="00966F24" w:rsidRPr="002E4885" w:rsidRDefault="00966F24" w:rsidP="00966F24">
            <w:pPr>
              <w:pStyle w:val="Subtitle"/>
              <w:rPr>
                <w:rFonts w:ascii="Calibri" w:hAnsi="Calibri" w:cs="Calibri"/>
                <w:color w:val="auto"/>
                <w:sz w:val="20"/>
                <w:szCs w:val="20"/>
              </w:rPr>
            </w:pPr>
            <w:r w:rsidRPr="002E4885">
              <w:rPr>
                <w:rFonts w:ascii="Calibri" w:hAnsi="Calibri" w:cs="Calibri"/>
                <w:color w:val="auto"/>
                <w:sz w:val="20"/>
                <w:szCs w:val="20"/>
              </w:rPr>
              <w:t>CFA or equivalent qualification/ relevant investment experience.</w:t>
            </w:r>
          </w:p>
          <w:p w14:paraId="1675D0FC" w14:textId="0BA0A562" w:rsidR="00966F24" w:rsidRPr="002E4885" w:rsidRDefault="00966F24" w:rsidP="00966F24">
            <w:pPr>
              <w:pStyle w:val="Subtitle"/>
              <w:rPr>
                <w:rFonts w:ascii="Calibri" w:hAnsi="Calibri" w:cs="Calibri"/>
                <w:color w:val="auto"/>
                <w:sz w:val="20"/>
                <w:szCs w:val="20"/>
              </w:rPr>
            </w:pPr>
            <w:r w:rsidRPr="002E4885">
              <w:rPr>
                <w:rFonts w:ascii="Calibri" w:hAnsi="Calibri" w:cs="Calibri"/>
                <w:color w:val="auto"/>
                <w:sz w:val="20"/>
                <w:szCs w:val="20"/>
              </w:rPr>
              <w:t>Has or can meet all the requirements of being FCA CF 30 approved person.</w:t>
            </w:r>
          </w:p>
          <w:p w14:paraId="429020A7" w14:textId="59695274" w:rsidR="00966F24" w:rsidRPr="002E4885" w:rsidRDefault="00966F24" w:rsidP="003A1384">
            <w:pPr>
              <w:rPr>
                <w:rFonts w:ascii="Calibri" w:hAnsi="Calibri" w:cs="Calibri"/>
                <w:sz w:val="20"/>
                <w:szCs w:val="20"/>
              </w:rPr>
            </w:pPr>
          </w:p>
        </w:tc>
        <w:tc>
          <w:tcPr>
            <w:tcW w:w="2152" w:type="dxa"/>
            <w:shd w:val="clear" w:color="auto" w:fill="auto"/>
          </w:tcPr>
          <w:p w14:paraId="1AE942C4" w14:textId="61AAB4DD" w:rsidR="00966F24" w:rsidRPr="00FA17B3" w:rsidRDefault="00966F24" w:rsidP="00966F24">
            <w:pPr>
              <w:pStyle w:val="Subtitle"/>
              <w:rPr>
                <w:rFonts w:cstheme="minorHAnsi"/>
                <w:b/>
                <w:color w:val="auto"/>
                <w:sz w:val="20"/>
                <w:szCs w:val="20"/>
              </w:rPr>
            </w:pPr>
            <w:r w:rsidRPr="00FA17B3">
              <w:rPr>
                <w:rFonts w:cstheme="minorHAnsi"/>
                <w:b/>
                <w:color w:val="auto"/>
                <w:sz w:val="20"/>
                <w:szCs w:val="20"/>
              </w:rPr>
              <w:lastRenderedPageBreak/>
              <w:t>Values:</w:t>
            </w:r>
          </w:p>
          <w:p w14:paraId="4128E3E7" w14:textId="5815F8B1" w:rsidR="00966F24" w:rsidRPr="00FA17B3" w:rsidRDefault="00966F24" w:rsidP="00966F24">
            <w:pPr>
              <w:pStyle w:val="Subtitle"/>
              <w:rPr>
                <w:rFonts w:cstheme="minorHAnsi"/>
                <w:color w:val="auto"/>
                <w:sz w:val="20"/>
                <w:szCs w:val="20"/>
              </w:rPr>
            </w:pPr>
            <w:r w:rsidRPr="00FA17B3">
              <w:rPr>
                <w:rFonts w:cstheme="minorHAnsi"/>
                <w:color w:val="auto"/>
                <w:sz w:val="20"/>
                <w:szCs w:val="20"/>
              </w:rPr>
              <w:t>Integrity</w:t>
            </w:r>
          </w:p>
          <w:p w14:paraId="5DF28E4F" w14:textId="07318AC7" w:rsidR="00966F24" w:rsidRPr="00FA17B3" w:rsidRDefault="00B35FF3" w:rsidP="00966F24">
            <w:pPr>
              <w:pStyle w:val="Subtitle"/>
              <w:rPr>
                <w:rFonts w:cstheme="minorHAnsi"/>
                <w:color w:val="auto"/>
                <w:sz w:val="20"/>
                <w:szCs w:val="20"/>
              </w:rPr>
            </w:pPr>
            <w:r w:rsidRPr="00FA17B3">
              <w:rPr>
                <w:rFonts w:cstheme="minorHAnsi"/>
                <w:color w:val="auto"/>
                <w:sz w:val="20"/>
                <w:szCs w:val="20"/>
              </w:rPr>
              <w:t xml:space="preserve">Client Focus </w:t>
            </w:r>
          </w:p>
          <w:p w14:paraId="66ABFE06" w14:textId="3043C7C6" w:rsidR="00966F24" w:rsidRPr="00FA17B3" w:rsidRDefault="00966F24" w:rsidP="00966F24">
            <w:pPr>
              <w:pStyle w:val="Subtitle"/>
              <w:rPr>
                <w:rFonts w:cstheme="minorHAnsi"/>
                <w:color w:val="auto"/>
                <w:sz w:val="20"/>
                <w:szCs w:val="20"/>
              </w:rPr>
            </w:pPr>
            <w:r w:rsidRPr="00FA17B3">
              <w:rPr>
                <w:rFonts w:cstheme="minorHAnsi"/>
                <w:color w:val="auto"/>
                <w:sz w:val="20"/>
                <w:szCs w:val="20"/>
              </w:rPr>
              <w:t>Supportive Workplace</w:t>
            </w:r>
          </w:p>
          <w:p w14:paraId="4490663A" w14:textId="34E0BF05" w:rsidR="00966F24" w:rsidRPr="00FA17B3" w:rsidRDefault="00966F24" w:rsidP="00966F24">
            <w:pPr>
              <w:pStyle w:val="Subtitle"/>
              <w:rPr>
                <w:rFonts w:cstheme="minorHAnsi"/>
                <w:color w:val="auto"/>
                <w:sz w:val="20"/>
                <w:szCs w:val="20"/>
              </w:rPr>
            </w:pPr>
            <w:r w:rsidRPr="00FA17B3">
              <w:rPr>
                <w:rFonts w:cstheme="minorHAnsi"/>
                <w:color w:val="auto"/>
                <w:sz w:val="20"/>
                <w:szCs w:val="20"/>
              </w:rPr>
              <w:t>Togetherness</w:t>
            </w:r>
          </w:p>
          <w:p w14:paraId="2D0CE893" w14:textId="07F55C4E" w:rsidR="00966F24" w:rsidRPr="00FA17B3" w:rsidRDefault="00B35FF3" w:rsidP="00966F24">
            <w:pPr>
              <w:pStyle w:val="Subtitle"/>
              <w:rPr>
                <w:rFonts w:cstheme="minorHAnsi"/>
                <w:color w:val="auto"/>
                <w:sz w:val="20"/>
                <w:szCs w:val="20"/>
              </w:rPr>
            </w:pPr>
            <w:r w:rsidRPr="00FA17B3">
              <w:rPr>
                <w:rFonts w:cstheme="minorHAnsi"/>
                <w:color w:val="auto"/>
                <w:sz w:val="20"/>
                <w:szCs w:val="20"/>
              </w:rPr>
              <w:t>Cutting Edge</w:t>
            </w:r>
            <w:r w:rsidR="00966F24" w:rsidRPr="00FA17B3">
              <w:rPr>
                <w:rFonts w:cstheme="minorHAnsi"/>
                <w:color w:val="auto"/>
                <w:sz w:val="20"/>
                <w:szCs w:val="20"/>
              </w:rPr>
              <w:t xml:space="preserve"> </w:t>
            </w:r>
          </w:p>
          <w:p w14:paraId="6B21C0A5" w14:textId="77777777" w:rsidR="00966F24" w:rsidRPr="00FA17B3" w:rsidRDefault="00966F24" w:rsidP="00966F24">
            <w:pPr>
              <w:pStyle w:val="Subtitle"/>
              <w:rPr>
                <w:rFonts w:cstheme="minorHAnsi"/>
                <w:color w:val="auto"/>
                <w:sz w:val="20"/>
                <w:szCs w:val="20"/>
              </w:rPr>
            </w:pPr>
          </w:p>
          <w:p w14:paraId="5D02D369" w14:textId="6CE970E0" w:rsidR="00966F24" w:rsidRPr="00FA17B3" w:rsidRDefault="00966F24" w:rsidP="00966F24">
            <w:pPr>
              <w:pStyle w:val="Subtitle"/>
              <w:rPr>
                <w:rFonts w:cstheme="minorHAnsi"/>
                <w:b/>
                <w:color w:val="auto"/>
                <w:sz w:val="20"/>
                <w:szCs w:val="20"/>
              </w:rPr>
            </w:pPr>
            <w:r w:rsidRPr="00FA17B3">
              <w:rPr>
                <w:rFonts w:cstheme="minorHAnsi"/>
                <w:b/>
                <w:color w:val="auto"/>
                <w:sz w:val="20"/>
                <w:szCs w:val="20"/>
              </w:rPr>
              <w:t>Behaviours:</w:t>
            </w:r>
          </w:p>
          <w:p w14:paraId="31F0BC61" w14:textId="537477FA" w:rsidR="00966F24" w:rsidRPr="00FA17B3" w:rsidRDefault="00966F24" w:rsidP="00966F24">
            <w:pPr>
              <w:pStyle w:val="Subtitle"/>
              <w:rPr>
                <w:rFonts w:cstheme="minorHAnsi"/>
                <w:color w:val="auto"/>
                <w:sz w:val="20"/>
                <w:szCs w:val="20"/>
              </w:rPr>
            </w:pPr>
            <w:r w:rsidRPr="00FA17B3">
              <w:rPr>
                <w:rFonts w:cstheme="minorHAnsi"/>
                <w:color w:val="auto"/>
                <w:sz w:val="20"/>
                <w:szCs w:val="20"/>
              </w:rPr>
              <w:t>Open, fair and transparent</w:t>
            </w:r>
          </w:p>
          <w:p w14:paraId="6FFF97DD" w14:textId="4BB9BB3B" w:rsidR="00966F24" w:rsidRPr="00FA17B3" w:rsidRDefault="00966F24" w:rsidP="00966F24">
            <w:pPr>
              <w:pStyle w:val="Subtitle"/>
              <w:rPr>
                <w:rFonts w:cstheme="minorHAnsi"/>
                <w:color w:val="auto"/>
                <w:sz w:val="20"/>
                <w:szCs w:val="20"/>
              </w:rPr>
            </w:pPr>
            <w:r w:rsidRPr="00FA17B3">
              <w:rPr>
                <w:rFonts w:cstheme="minorHAnsi"/>
                <w:color w:val="auto"/>
                <w:sz w:val="20"/>
                <w:szCs w:val="20"/>
              </w:rPr>
              <w:t>Honest and trustworthy</w:t>
            </w:r>
          </w:p>
          <w:p w14:paraId="3CF8F0B8" w14:textId="5C5B17EE" w:rsidR="00966F24" w:rsidRPr="00FA17B3" w:rsidRDefault="00966F24" w:rsidP="00966F24">
            <w:pPr>
              <w:pStyle w:val="Subtitle"/>
              <w:rPr>
                <w:rFonts w:cstheme="minorHAnsi"/>
                <w:color w:val="auto"/>
                <w:sz w:val="20"/>
                <w:szCs w:val="20"/>
              </w:rPr>
            </w:pPr>
            <w:r w:rsidRPr="00FA17B3">
              <w:rPr>
                <w:rFonts w:cstheme="minorHAnsi"/>
                <w:color w:val="auto"/>
                <w:sz w:val="20"/>
                <w:szCs w:val="20"/>
              </w:rPr>
              <w:t>Empowered in making right decisions</w:t>
            </w:r>
          </w:p>
          <w:p w14:paraId="055BF4D2" w14:textId="77777777" w:rsidR="00966F24" w:rsidRPr="00FA17B3" w:rsidRDefault="00966F24" w:rsidP="00966F24">
            <w:pPr>
              <w:pStyle w:val="Subtitle"/>
              <w:rPr>
                <w:rFonts w:cstheme="minorHAnsi"/>
                <w:color w:val="auto"/>
                <w:sz w:val="20"/>
                <w:szCs w:val="20"/>
              </w:rPr>
            </w:pPr>
            <w:r w:rsidRPr="00FA17B3">
              <w:rPr>
                <w:rFonts w:cstheme="minorHAnsi"/>
                <w:color w:val="auto"/>
                <w:sz w:val="20"/>
                <w:szCs w:val="20"/>
              </w:rPr>
              <w:t>Accountability for results and delivery</w:t>
            </w:r>
          </w:p>
          <w:p w14:paraId="49F7D9B9" w14:textId="2A34C602" w:rsidR="00966F24" w:rsidRPr="00FA17B3" w:rsidRDefault="00966F24" w:rsidP="00966F24">
            <w:pPr>
              <w:pStyle w:val="Subtitle"/>
              <w:rPr>
                <w:rFonts w:cstheme="minorHAnsi"/>
                <w:color w:val="auto"/>
                <w:sz w:val="20"/>
                <w:szCs w:val="20"/>
              </w:rPr>
            </w:pPr>
            <w:r w:rsidRPr="00FA17B3">
              <w:rPr>
                <w:rFonts w:cstheme="minorHAnsi"/>
                <w:color w:val="auto"/>
                <w:sz w:val="20"/>
                <w:szCs w:val="20"/>
              </w:rPr>
              <w:t xml:space="preserve">Aspire towards partner </w:t>
            </w:r>
            <w:r w:rsidR="00743ED9" w:rsidRPr="00FA17B3">
              <w:rPr>
                <w:rFonts w:cstheme="minorHAnsi"/>
                <w:color w:val="auto"/>
                <w:sz w:val="20"/>
                <w:szCs w:val="20"/>
              </w:rPr>
              <w:t xml:space="preserve">fund </w:t>
            </w:r>
            <w:r w:rsidRPr="00FA17B3">
              <w:rPr>
                <w:rFonts w:cstheme="minorHAnsi"/>
                <w:color w:val="auto"/>
                <w:sz w:val="20"/>
                <w:szCs w:val="20"/>
              </w:rPr>
              <w:t>expectations</w:t>
            </w:r>
          </w:p>
          <w:p w14:paraId="11E36BD2" w14:textId="5682F137" w:rsidR="00966F24" w:rsidRPr="00FA17B3" w:rsidRDefault="00966F24" w:rsidP="00966F24">
            <w:pPr>
              <w:pStyle w:val="Subtitle"/>
              <w:rPr>
                <w:rFonts w:cstheme="minorHAnsi"/>
                <w:color w:val="auto"/>
                <w:sz w:val="20"/>
                <w:szCs w:val="20"/>
              </w:rPr>
            </w:pPr>
            <w:r w:rsidRPr="00FA17B3">
              <w:rPr>
                <w:rFonts w:cstheme="minorHAnsi"/>
                <w:color w:val="auto"/>
                <w:sz w:val="20"/>
                <w:szCs w:val="20"/>
              </w:rPr>
              <w:lastRenderedPageBreak/>
              <w:t>Fair treatment of staff</w:t>
            </w:r>
          </w:p>
          <w:p w14:paraId="4B4DBA5B" w14:textId="0F4D063A" w:rsidR="00966F24" w:rsidRPr="00FA17B3" w:rsidRDefault="00966F24" w:rsidP="00966F24">
            <w:pPr>
              <w:pStyle w:val="Subtitle"/>
              <w:rPr>
                <w:rFonts w:cstheme="minorHAnsi"/>
                <w:color w:val="auto"/>
                <w:sz w:val="20"/>
                <w:szCs w:val="20"/>
              </w:rPr>
            </w:pPr>
            <w:r w:rsidRPr="00FA17B3">
              <w:rPr>
                <w:rFonts w:cstheme="minorHAnsi"/>
                <w:color w:val="auto"/>
                <w:sz w:val="20"/>
                <w:szCs w:val="20"/>
              </w:rPr>
              <w:t>Challenge status quo</w:t>
            </w:r>
            <w:r w:rsidR="008F18ED" w:rsidRPr="00FA17B3">
              <w:rPr>
                <w:rFonts w:cstheme="minorHAnsi"/>
                <w:color w:val="auto"/>
                <w:sz w:val="20"/>
                <w:szCs w:val="20"/>
              </w:rPr>
              <w:t xml:space="preserve"> appropriately</w:t>
            </w:r>
            <w:r w:rsidRPr="00FA17B3">
              <w:rPr>
                <w:rFonts w:cstheme="minorHAnsi"/>
                <w:color w:val="auto"/>
                <w:sz w:val="20"/>
                <w:szCs w:val="20"/>
              </w:rPr>
              <w:t xml:space="preserve"> and work collaboratively</w:t>
            </w:r>
          </w:p>
          <w:p w14:paraId="14E94D5C" w14:textId="4B100F78" w:rsidR="00966F24" w:rsidRPr="00FA17B3" w:rsidRDefault="00966F24" w:rsidP="00966F24">
            <w:pPr>
              <w:pStyle w:val="Subtitle"/>
              <w:rPr>
                <w:rFonts w:cstheme="minorHAnsi"/>
                <w:color w:val="auto"/>
                <w:sz w:val="20"/>
                <w:szCs w:val="20"/>
              </w:rPr>
            </w:pPr>
            <w:r w:rsidRPr="00FA17B3">
              <w:rPr>
                <w:rFonts w:cstheme="minorHAnsi"/>
                <w:color w:val="auto"/>
                <w:sz w:val="20"/>
                <w:szCs w:val="20"/>
              </w:rPr>
              <w:t>New thinking and continuous improvement</w:t>
            </w:r>
          </w:p>
          <w:p w14:paraId="58A2E9A1" w14:textId="2A58CD48" w:rsidR="00966F24" w:rsidRPr="00FA17B3" w:rsidRDefault="00966F24" w:rsidP="00966F24">
            <w:pPr>
              <w:pStyle w:val="Subtitle"/>
              <w:rPr>
                <w:rFonts w:cstheme="minorHAnsi"/>
                <w:color w:val="auto"/>
                <w:sz w:val="20"/>
                <w:szCs w:val="20"/>
              </w:rPr>
            </w:pPr>
            <w:r w:rsidRPr="00FA17B3">
              <w:rPr>
                <w:rFonts w:cstheme="minorHAnsi"/>
                <w:color w:val="auto"/>
                <w:sz w:val="20"/>
                <w:szCs w:val="20"/>
              </w:rPr>
              <w:t>Centre of excellence</w:t>
            </w:r>
          </w:p>
          <w:p w14:paraId="68E50EDA" w14:textId="21105BEB" w:rsidR="00966F24" w:rsidRPr="002A5F8E" w:rsidRDefault="00966F24" w:rsidP="00966F24">
            <w:pPr>
              <w:pStyle w:val="Subtitle"/>
              <w:rPr>
                <w:rFonts w:cstheme="minorHAnsi"/>
                <w:color w:val="auto"/>
                <w:sz w:val="20"/>
                <w:szCs w:val="20"/>
              </w:rPr>
            </w:pPr>
          </w:p>
          <w:p w14:paraId="0C9719BF" w14:textId="77777777" w:rsidR="00966F24" w:rsidRPr="002A5F8E" w:rsidRDefault="00966F24" w:rsidP="00966F24">
            <w:pPr>
              <w:pStyle w:val="Subtitle"/>
              <w:rPr>
                <w:rFonts w:cstheme="minorHAnsi"/>
                <w:color w:val="auto"/>
                <w:sz w:val="20"/>
                <w:szCs w:val="20"/>
              </w:rPr>
            </w:pPr>
          </w:p>
          <w:p w14:paraId="34C48B23" w14:textId="77777777" w:rsidR="00966F24" w:rsidRPr="002A5F8E" w:rsidRDefault="00966F24" w:rsidP="00966F24">
            <w:pPr>
              <w:pStyle w:val="Subtitle"/>
              <w:rPr>
                <w:rFonts w:cstheme="minorHAnsi"/>
                <w:color w:val="auto"/>
                <w:sz w:val="20"/>
                <w:szCs w:val="20"/>
              </w:rPr>
            </w:pPr>
          </w:p>
          <w:p w14:paraId="4962C624" w14:textId="77777777" w:rsidR="00966F24" w:rsidRPr="002A5F8E" w:rsidRDefault="00966F24" w:rsidP="00966F24">
            <w:pPr>
              <w:pStyle w:val="Subtitle"/>
              <w:rPr>
                <w:rFonts w:cstheme="minorHAnsi"/>
                <w:color w:val="auto"/>
                <w:sz w:val="20"/>
                <w:szCs w:val="20"/>
              </w:rPr>
            </w:pPr>
          </w:p>
          <w:p w14:paraId="58347C65" w14:textId="77777777" w:rsidR="00966F24" w:rsidRPr="002A5F8E" w:rsidRDefault="00966F24" w:rsidP="00966F24">
            <w:pPr>
              <w:pStyle w:val="Subtitle"/>
              <w:rPr>
                <w:rFonts w:cstheme="minorHAnsi"/>
                <w:color w:val="auto"/>
                <w:sz w:val="20"/>
                <w:szCs w:val="20"/>
              </w:rPr>
            </w:pPr>
          </w:p>
          <w:p w14:paraId="58BBEB02" w14:textId="77777777" w:rsidR="00966F24" w:rsidRPr="002A5F8E" w:rsidRDefault="00966F24" w:rsidP="00966F24">
            <w:pPr>
              <w:pStyle w:val="Subtitle"/>
              <w:rPr>
                <w:rFonts w:cstheme="minorHAnsi"/>
                <w:color w:val="auto"/>
                <w:sz w:val="20"/>
                <w:szCs w:val="20"/>
              </w:rPr>
            </w:pPr>
          </w:p>
        </w:tc>
      </w:tr>
    </w:tbl>
    <w:p w14:paraId="4D88AF1E" w14:textId="77777777" w:rsidR="00177F90" w:rsidRDefault="00177F90" w:rsidP="006B2B71">
      <w:pPr>
        <w:pStyle w:val="paragraph"/>
        <w:spacing w:before="0" w:beforeAutospacing="0" w:after="0" w:afterAutospacing="0"/>
        <w:ind w:left="-993"/>
        <w:textAlignment w:val="baseline"/>
        <w:rPr>
          <w:rStyle w:val="normaltextrun"/>
          <w:rFonts w:asciiTheme="minorHAnsi" w:hAnsiTheme="minorHAnsi" w:cstheme="minorHAnsi"/>
          <w:color w:val="000000"/>
          <w:sz w:val="18"/>
          <w:szCs w:val="18"/>
        </w:rPr>
      </w:pPr>
    </w:p>
    <w:p w14:paraId="5F8F1702" w14:textId="6F37DF91"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LGPS Central Limited provides an exciting, supportive and family-friendly working environment, and we are committed to helping our people achieve their full potential and a healthy work-life balance.</w:t>
      </w:r>
      <w:r w:rsidRPr="00FC438D">
        <w:rPr>
          <w:rStyle w:val="eop"/>
          <w:rFonts w:asciiTheme="minorHAnsi" w:hAnsiTheme="minorHAnsi" w:cstheme="minorHAnsi"/>
          <w:color w:val="000000"/>
          <w:sz w:val="14"/>
          <w:szCs w:val="14"/>
        </w:rPr>
        <w:t> </w:t>
      </w:r>
    </w:p>
    <w:p w14:paraId="0F728EFB" w14:textId="77777777"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We are an inclusive employer and offer equal opportunities to all regardless of an individual’s age, disability, gender identity, marriage or civil partnership status, pregnancy or maternity, race, religion or belief, sex and sexual orientation.</w:t>
      </w:r>
      <w:r w:rsidRPr="00FC438D">
        <w:rPr>
          <w:rStyle w:val="eop"/>
          <w:rFonts w:asciiTheme="minorHAnsi" w:hAnsiTheme="minorHAnsi" w:cstheme="minorHAnsi"/>
          <w:color w:val="000000"/>
          <w:sz w:val="14"/>
          <w:szCs w:val="14"/>
        </w:rPr>
        <w:t> </w:t>
      </w:r>
    </w:p>
    <w:p w14:paraId="67EA8E58" w14:textId="0D76D4D6" w:rsidR="002B6BC5" w:rsidRPr="00FC438D" w:rsidRDefault="00D703A5" w:rsidP="00177F90">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Candidates who declare that they have a disability and who meet the essential criteria for the job will be offered an interview.</w:t>
      </w:r>
      <w:r w:rsidRPr="00FC438D">
        <w:rPr>
          <w:rStyle w:val="eop"/>
          <w:rFonts w:asciiTheme="minorHAnsi" w:hAnsiTheme="minorHAnsi" w:cstheme="minorHAnsi"/>
          <w:color w:val="000000"/>
          <w:sz w:val="14"/>
          <w:szCs w:val="14"/>
        </w:rPr>
        <w:t> </w:t>
      </w:r>
    </w:p>
    <w:sectPr w:rsidR="002B6BC5" w:rsidRPr="00FC438D" w:rsidSect="000A4D99">
      <w:head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C868" w14:textId="77777777" w:rsidR="0058474F" w:rsidRDefault="0058474F">
      <w:r>
        <w:separator/>
      </w:r>
    </w:p>
  </w:endnote>
  <w:endnote w:type="continuationSeparator" w:id="0">
    <w:p w14:paraId="6C5EC02C" w14:textId="77777777" w:rsidR="0058474F" w:rsidRDefault="0058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C523" w14:textId="77777777" w:rsidR="0058474F" w:rsidRDefault="0058474F">
      <w:r>
        <w:separator/>
      </w:r>
    </w:p>
  </w:footnote>
  <w:footnote w:type="continuationSeparator" w:id="0">
    <w:p w14:paraId="5094B754" w14:textId="77777777" w:rsidR="0058474F" w:rsidRDefault="0058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C6AA" w14:textId="6B08BC7B" w:rsidR="007C258C" w:rsidRDefault="007C258C">
    <w:pPr>
      <w:pStyle w:val="Header"/>
    </w:pPr>
    <w:r>
      <w:rPr>
        <w:noProof/>
      </w:rPr>
      <mc:AlternateContent>
        <mc:Choice Requires="wps">
          <w:drawing>
            <wp:anchor distT="0" distB="0" distL="114300" distR="114300" simplePos="0" relativeHeight="251659264" behindDoc="0" locked="0" layoutInCell="0" allowOverlap="1" wp14:anchorId="49339D37" wp14:editId="27B81B91">
              <wp:simplePos x="0" y="0"/>
              <wp:positionH relativeFrom="page">
                <wp:posOffset>0</wp:posOffset>
              </wp:positionH>
              <wp:positionV relativeFrom="page">
                <wp:posOffset>190500</wp:posOffset>
              </wp:positionV>
              <wp:extent cx="10692130" cy="266700"/>
              <wp:effectExtent l="0" t="0" r="0" b="0"/>
              <wp:wrapNone/>
              <wp:docPr id="1" name="MSIPCM48b74cbcbacc3b8fa23bb369"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0611B" w14:textId="397688FC" w:rsidR="007C258C" w:rsidRPr="007C258C" w:rsidRDefault="007C258C" w:rsidP="007C258C">
                          <w:pPr>
                            <w:rPr>
                              <w:rFonts w:ascii="Calibri" w:hAnsi="Calibri" w:cs="Calibri"/>
                              <w:color w:val="000000"/>
                              <w:sz w:val="22"/>
                            </w:rPr>
                          </w:pPr>
                          <w:r w:rsidRPr="007C258C">
                            <w:rPr>
                              <w:rFonts w:ascii="Calibri" w:hAnsi="Calibri" w:cs="Calibri"/>
                              <w:color w:val="000000"/>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339D37" id="_x0000_t202" coordsize="21600,21600" o:spt="202" path="m,l,21600r21600,l21600,xe">
              <v:stroke joinstyle="miter"/>
              <v:path gradientshapeok="t" o:connecttype="rect"/>
            </v:shapetype>
            <v:shape id="MSIPCM48b74cbcbacc3b8fa23bb369"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" o:allowincell="f" filled="f" stroked="f" strokeweight=".5pt">
              <v:textbox inset="20pt,0,,0">
                <w:txbxContent>
                  <w:p w14:paraId="0C20611B" w14:textId="397688FC" w:rsidR="007C258C" w:rsidRPr="007C258C" w:rsidRDefault="007C258C" w:rsidP="007C258C">
                    <w:pPr>
                      <w:rPr>
                        <w:rFonts w:ascii="Calibri" w:hAnsi="Calibri" w:cs="Calibri"/>
                        <w:color w:val="000000"/>
                        <w:sz w:val="22"/>
                      </w:rPr>
                    </w:pPr>
                    <w:r w:rsidRPr="007C258C">
                      <w:rPr>
                        <w:rFonts w:ascii="Calibri" w:hAnsi="Calibri" w:cs="Calibri"/>
                        <w:color w:val="000000"/>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0.7pt;height:5pt" coordsize="" o:spt="100" o:bullet="t" adj="0,,0" path="" stroked="f">
        <v:stroke joinstyle="miter"/>
        <v:imagedata r:id="rId1" o:title="image10"/>
        <v:formulas/>
        <v:path o:connecttype="segments"/>
      </v:shape>
    </w:pict>
  </w:numPicBullet>
  <w:numPicBullet w:numPicBulletId="1">
    <w:pict>
      <v:shape id="_x0000_i1027" style="width:10.7pt;height:5pt" coordsize="" o:spt="100" o:bullet="t" adj="0,,0" path="" stroked="f">
        <v:stroke joinstyle="miter"/>
        <v:imagedata r:id="rId2" o:title="image11"/>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85FE9"/>
    <w:multiLevelType w:val="hybridMultilevel"/>
    <w:tmpl w:val="DE5883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2393B"/>
    <w:multiLevelType w:val="hybridMultilevel"/>
    <w:tmpl w:val="8FEE1E28"/>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A1D38"/>
    <w:multiLevelType w:val="hybridMultilevel"/>
    <w:tmpl w:val="7124E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E67F9"/>
    <w:multiLevelType w:val="hybridMultilevel"/>
    <w:tmpl w:val="2C0AD0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B0002"/>
    <w:multiLevelType w:val="hybridMultilevel"/>
    <w:tmpl w:val="5964A2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D26E1"/>
    <w:multiLevelType w:val="hybridMultilevel"/>
    <w:tmpl w:val="99BC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A07B6"/>
    <w:multiLevelType w:val="hybridMultilevel"/>
    <w:tmpl w:val="1FE27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5C6E"/>
    <w:multiLevelType w:val="hybridMultilevel"/>
    <w:tmpl w:val="75D60B6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2460D"/>
    <w:multiLevelType w:val="hybridMultilevel"/>
    <w:tmpl w:val="4D008C2E"/>
    <w:lvl w:ilvl="0" w:tplc="DC02ED2C">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35723"/>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A3950EA"/>
    <w:multiLevelType w:val="hybridMultilevel"/>
    <w:tmpl w:val="ECB6B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67A5D"/>
    <w:multiLevelType w:val="hybridMultilevel"/>
    <w:tmpl w:val="29E475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A974A7"/>
    <w:multiLevelType w:val="hybridMultilevel"/>
    <w:tmpl w:val="0C429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3D781A"/>
    <w:multiLevelType w:val="hybridMultilevel"/>
    <w:tmpl w:val="8F2C09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25C6B"/>
    <w:multiLevelType w:val="hybridMultilevel"/>
    <w:tmpl w:val="74F0A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760FE"/>
    <w:multiLevelType w:val="hybridMultilevel"/>
    <w:tmpl w:val="8BF4A3EE"/>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21DBA"/>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6F3628C2"/>
    <w:multiLevelType w:val="hybridMultilevel"/>
    <w:tmpl w:val="AAC4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E5172"/>
    <w:multiLevelType w:val="hybridMultilevel"/>
    <w:tmpl w:val="F0E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7E10B0"/>
    <w:multiLevelType w:val="hybridMultilevel"/>
    <w:tmpl w:val="CEEE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0B356A"/>
    <w:multiLevelType w:val="hybridMultilevel"/>
    <w:tmpl w:val="CD9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778F7E59"/>
    <w:multiLevelType w:val="hybridMultilevel"/>
    <w:tmpl w:val="C4F44F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F4A94"/>
    <w:multiLevelType w:val="hybridMultilevel"/>
    <w:tmpl w:val="9758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3"/>
  </w:num>
  <w:num w:numId="4">
    <w:abstractNumId w:val="23"/>
  </w:num>
  <w:num w:numId="5">
    <w:abstractNumId w:val="13"/>
  </w:num>
  <w:num w:numId="6">
    <w:abstractNumId w:val="1"/>
  </w:num>
  <w:num w:numId="7">
    <w:abstractNumId w:val="9"/>
  </w:num>
  <w:num w:numId="8">
    <w:abstractNumId w:val="15"/>
  </w:num>
  <w:num w:numId="9">
    <w:abstractNumId w:val="20"/>
  </w:num>
  <w:num w:numId="10">
    <w:abstractNumId w:val="18"/>
  </w:num>
  <w:num w:numId="11">
    <w:abstractNumId w:val="30"/>
  </w:num>
  <w:num w:numId="12">
    <w:abstractNumId w:val="4"/>
  </w:num>
  <w:num w:numId="13">
    <w:abstractNumId w:val="5"/>
  </w:num>
  <w:num w:numId="14">
    <w:abstractNumId w:val="27"/>
  </w:num>
  <w:num w:numId="15">
    <w:abstractNumId w:val="28"/>
  </w:num>
  <w:num w:numId="16">
    <w:abstractNumId w:val="32"/>
  </w:num>
  <w:num w:numId="17">
    <w:abstractNumId w:val="16"/>
  </w:num>
  <w:num w:numId="18">
    <w:abstractNumId w:val="14"/>
  </w:num>
  <w:num w:numId="19">
    <w:abstractNumId w:val="8"/>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2"/>
  </w:num>
  <w:num w:numId="22">
    <w:abstractNumId w:val="29"/>
  </w:num>
  <w:num w:numId="23">
    <w:abstractNumId w:val="8"/>
  </w:num>
  <w:num w:numId="24">
    <w:abstractNumId w:val="13"/>
  </w:num>
  <w:num w:numId="25">
    <w:abstractNumId w:val="23"/>
  </w:num>
  <w:num w:numId="26">
    <w:abstractNumId w:val="1"/>
  </w:num>
  <w:num w:numId="27">
    <w:abstractNumId w:val="19"/>
  </w:num>
  <w:num w:numId="28">
    <w:abstractNumId w:val="26"/>
  </w:num>
  <w:num w:numId="29">
    <w:abstractNumId w:val="6"/>
  </w:num>
  <w:num w:numId="30">
    <w:abstractNumId w:val="2"/>
  </w:num>
  <w:num w:numId="31">
    <w:abstractNumId w:val="22"/>
  </w:num>
  <w:num w:numId="32">
    <w:abstractNumId w:val="25"/>
  </w:num>
  <w:num w:numId="33">
    <w:abstractNumId w:val="10"/>
  </w:num>
  <w:num w:numId="34">
    <w:abstractNumId w:val="11"/>
  </w:num>
  <w:num w:numId="35">
    <w:abstractNumId w:val="21"/>
  </w:num>
  <w:num w:numId="36">
    <w:abstractNumId w:val="31"/>
  </w:num>
  <w:num w:numId="37">
    <w:abstractNumId w:val="7"/>
  </w:num>
  <w:num w:numId="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059BD"/>
    <w:rsid w:val="00012B36"/>
    <w:rsid w:val="0001754E"/>
    <w:rsid w:val="00017C0A"/>
    <w:rsid w:val="000265FE"/>
    <w:rsid w:val="00031558"/>
    <w:rsid w:val="0003187C"/>
    <w:rsid w:val="00037196"/>
    <w:rsid w:val="00047A7F"/>
    <w:rsid w:val="000535A6"/>
    <w:rsid w:val="000778DD"/>
    <w:rsid w:val="00081892"/>
    <w:rsid w:val="00085949"/>
    <w:rsid w:val="0009166E"/>
    <w:rsid w:val="0009340B"/>
    <w:rsid w:val="00096F12"/>
    <w:rsid w:val="000978C7"/>
    <w:rsid w:val="000A4D99"/>
    <w:rsid w:val="000C0050"/>
    <w:rsid w:val="000C0167"/>
    <w:rsid w:val="000C7D0C"/>
    <w:rsid w:val="00114DBE"/>
    <w:rsid w:val="0012082E"/>
    <w:rsid w:val="001228F5"/>
    <w:rsid w:val="00126656"/>
    <w:rsid w:val="00132C72"/>
    <w:rsid w:val="00144334"/>
    <w:rsid w:val="00146590"/>
    <w:rsid w:val="00153858"/>
    <w:rsid w:val="00153864"/>
    <w:rsid w:val="00157991"/>
    <w:rsid w:val="00177F90"/>
    <w:rsid w:val="001829B5"/>
    <w:rsid w:val="00185AEA"/>
    <w:rsid w:val="00187133"/>
    <w:rsid w:val="00195122"/>
    <w:rsid w:val="001971C7"/>
    <w:rsid w:val="001A5C2E"/>
    <w:rsid w:val="001A6867"/>
    <w:rsid w:val="001B059C"/>
    <w:rsid w:val="001B2EE5"/>
    <w:rsid w:val="001B38A7"/>
    <w:rsid w:val="001B75A1"/>
    <w:rsid w:val="001C4F26"/>
    <w:rsid w:val="001C5405"/>
    <w:rsid w:val="001C7788"/>
    <w:rsid w:val="001D4699"/>
    <w:rsid w:val="001E6DCB"/>
    <w:rsid w:val="001F6B0A"/>
    <w:rsid w:val="002023BC"/>
    <w:rsid w:val="002040D1"/>
    <w:rsid w:val="00206873"/>
    <w:rsid w:val="00224E0B"/>
    <w:rsid w:val="002377AD"/>
    <w:rsid w:val="002407EE"/>
    <w:rsid w:val="0026026C"/>
    <w:rsid w:val="0027532E"/>
    <w:rsid w:val="00276ED8"/>
    <w:rsid w:val="00277D8B"/>
    <w:rsid w:val="00287E35"/>
    <w:rsid w:val="00291D62"/>
    <w:rsid w:val="002A2501"/>
    <w:rsid w:val="002A5F8E"/>
    <w:rsid w:val="002B3001"/>
    <w:rsid w:val="002B6BC5"/>
    <w:rsid w:val="002C2F28"/>
    <w:rsid w:val="002D1559"/>
    <w:rsid w:val="002E4885"/>
    <w:rsid w:val="002F26CA"/>
    <w:rsid w:val="002F4E4B"/>
    <w:rsid w:val="00300379"/>
    <w:rsid w:val="003041A0"/>
    <w:rsid w:val="00305776"/>
    <w:rsid w:val="003368D2"/>
    <w:rsid w:val="003413C8"/>
    <w:rsid w:val="00343E1C"/>
    <w:rsid w:val="0037091C"/>
    <w:rsid w:val="003735FD"/>
    <w:rsid w:val="003749C5"/>
    <w:rsid w:val="003852A6"/>
    <w:rsid w:val="00397029"/>
    <w:rsid w:val="00397122"/>
    <w:rsid w:val="003A131D"/>
    <w:rsid w:val="003A1384"/>
    <w:rsid w:val="003A6DCE"/>
    <w:rsid w:val="003B570B"/>
    <w:rsid w:val="003C1B49"/>
    <w:rsid w:val="003C3CFE"/>
    <w:rsid w:val="003C422B"/>
    <w:rsid w:val="003C76CB"/>
    <w:rsid w:val="003D45E4"/>
    <w:rsid w:val="003D498A"/>
    <w:rsid w:val="003D5A9A"/>
    <w:rsid w:val="003D5EE2"/>
    <w:rsid w:val="003E122B"/>
    <w:rsid w:val="003E2265"/>
    <w:rsid w:val="003E29B4"/>
    <w:rsid w:val="003F28FC"/>
    <w:rsid w:val="004033EB"/>
    <w:rsid w:val="00422BD5"/>
    <w:rsid w:val="00423DEC"/>
    <w:rsid w:val="004261E5"/>
    <w:rsid w:val="00450916"/>
    <w:rsid w:val="0046229A"/>
    <w:rsid w:val="00472EB3"/>
    <w:rsid w:val="004761C1"/>
    <w:rsid w:val="00482F5C"/>
    <w:rsid w:val="0048428E"/>
    <w:rsid w:val="00484910"/>
    <w:rsid w:val="004909FB"/>
    <w:rsid w:val="004A33EA"/>
    <w:rsid w:val="004B176C"/>
    <w:rsid w:val="004B4B89"/>
    <w:rsid w:val="004B7CA3"/>
    <w:rsid w:val="004C0610"/>
    <w:rsid w:val="004D034A"/>
    <w:rsid w:val="004D1209"/>
    <w:rsid w:val="004D28AC"/>
    <w:rsid w:val="004E09C6"/>
    <w:rsid w:val="004E5996"/>
    <w:rsid w:val="00502D58"/>
    <w:rsid w:val="00503F31"/>
    <w:rsid w:val="00505DE3"/>
    <w:rsid w:val="00506BC9"/>
    <w:rsid w:val="00524834"/>
    <w:rsid w:val="0052546D"/>
    <w:rsid w:val="00532EDA"/>
    <w:rsid w:val="00546B88"/>
    <w:rsid w:val="0054765B"/>
    <w:rsid w:val="00547D2F"/>
    <w:rsid w:val="00557BC5"/>
    <w:rsid w:val="00560E84"/>
    <w:rsid w:val="00561DFF"/>
    <w:rsid w:val="00570765"/>
    <w:rsid w:val="00570919"/>
    <w:rsid w:val="0058474F"/>
    <w:rsid w:val="005A0DC0"/>
    <w:rsid w:val="005B6220"/>
    <w:rsid w:val="005D041A"/>
    <w:rsid w:val="005E0AD2"/>
    <w:rsid w:val="005E24EC"/>
    <w:rsid w:val="005F4A58"/>
    <w:rsid w:val="00600F1D"/>
    <w:rsid w:val="00605413"/>
    <w:rsid w:val="00610560"/>
    <w:rsid w:val="00611B72"/>
    <w:rsid w:val="006653DE"/>
    <w:rsid w:val="006748BA"/>
    <w:rsid w:val="00676B0C"/>
    <w:rsid w:val="00681FC4"/>
    <w:rsid w:val="0068413A"/>
    <w:rsid w:val="00692AB5"/>
    <w:rsid w:val="00694AAB"/>
    <w:rsid w:val="006B10F6"/>
    <w:rsid w:val="006B1DAC"/>
    <w:rsid w:val="006B2B71"/>
    <w:rsid w:val="006D3C52"/>
    <w:rsid w:val="006D4056"/>
    <w:rsid w:val="006E4591"/>
    <w:rsid w:val="006E4D62"/>
    <w:rsid w:val="006F1BF8"/>
    <w:rsid w:val="006F47A6"/>
    <w:rsid w:val="006F5C4E"/>
    <w:rsid w:val="006F6C38"/>
    <w:rsid w:val="00705FEA"/>
    <w:rsid w:val="00711651"/>
    <w:rsid w:val="00712A31"/>
    <w:rsid w:val="00712EBB"/>
    <w:rsid w:val="00717627"/>
    <w:rsid w:val="00722C68"/>
    <w:rsid w:val="007232FF"/>
    <w:rsid w:val="00727DAC"/>
    <w:rsid w:val="00734798"/>
    <w:rsid w:val="00741439"/>
    <w:rsid w:val="00743ED9"/>
    <w:rsid w:val="0074698C"/>
    <w:rsid w:val="00750336"/>
    <w:rsid w:val="007553B2"/>
    <w:rsid w:val="00757B27"/>
    <w:rsid w:val="00764F5E"/>
    <w:rsid w:val="00777208"/>
    <w:rsid w:val="007905CB"/>
    <w:rsid w:val="007A6EE9"/>
    <w:rsid w:val="007B0D25"/>
    <w:rsid w:val="007B2C4C"/>
    <w:rsid w:val="007B3B3C"/>
    <w:rsid w:val="007C1806"/>
    <w:rsid w:val="007C258C"/>
    <w:rsid w:val="007C4A6F"/>
    <w:rsid w:val="007F0159"/>
    <w:rsid w:val="007F6049"/>
    <w:rsid w:val="007F7D13"/>
    <w:rsid w:val="00800985"/>
    <w:rsid w:val="0080150E"/>
    <w:rsid w:val="00802C7B"/>
    <w:rsid w:val="00807101"/>
    <w:rsid w:val="008153B9"/>
    <w:rsid w:val="008311EB"/>
    <w:rsid w:val="00832B82"/>
    <w:rsid w:val="00833E62"/>
    <w:rsid w:val="00851980"/>
    <w:rsid w:val="00852BA0"/>
    <w:rsid w:val="008566FB"/>
    <w:rsid w:val="00884DCA"/>
    <w:rsid w:val="008A2526"/>
    <w:rsid w:val="008A4871"/>
    <w:rsid w:val="008A68DA"/>
    <w:rsid w:val="008B0EB0"/>
    <w:rsid w:val="008B1A14"/>
    <w:rsid w:val="008B3E21"/>
    <w:rsid w:val="008B661F"/>
    <w:rsid w:val="008B7A4A"/>
    <w:rsid w:val="008D4226"/>
    <w:rsid w:val="008D4793"/>
    <w:rsid w:val="008D60EC"/>
    <w:rsid w:val="008F18DF"/>
    <w:rsid w:val="008F18ED"/>
    <w:rsid w:val="008F667D"/>
    <w:rsid w:val="0090672B"/>
    <w:rsid w:val="00925A34"/>
    <w:rsid w:val="009313C3"/>
    <w:rsid w:val="009367EF"/>
    <w:rsid w:val="00950DC3"/>
    <w:rsid w:val="00952BA3"/>
    <w:rsid w:val="00953643"/>
    <w:rsid w:val="00957243"/>
    <w:rsid w:val="00965CED"/>
    <w:rsid w:val="00966F24"/>
    <w:rsid w:val="009717AC"/>
    <w:rsid w:val="00972D33"/>
    <w:rsid w:val="0097349E"/>
    <w:rsid w:val="009762C1"/>
    <w:rsid w:val="00976F5A"/>
    <w:rsid w:val="00977302"/>
    <w:rsid w:val="009855A5"/>
    <w:rsid w:val="00995DA0"/>
    <w:rsid w:val="009A2189"/>
    <w:rsid w:val="009A5749"/>
    <w:rsid w:val="009B2B0F"/>
    <w:rsid w:val="009C1AE9"/>
    <w:rsid w:val="009C1B7A"/>
    <w:rsid w:val="009C429B"/>
    <w:rsid w:val="009C76C0"/>
    <w:rsid w:val="009D243D"/>
    <w:rsid w:val="009D292C"/>
    <w:rsid w:val="009D438F"/>
    <w:rsid w:val="009D6E45"/>
    <w:rsid w:val="00A05309"/>
    <w:rsid w:val="00A07DC2"/>
    <w:rsid w:val="00A112A7"/>
    <w:rsid w:val="00A16B43"/>
    <w:rsid w:val="00A21B5D"/>
    <w:rsid w:val="00A22485"/>
    <w:rsid w:val="00A33ACB"/>
    <w:rsid w:val="00A43132"/>
    <w:rsid w:val="00A52D35"/>
    <w:rsid w:val="00A55D60"/>
    <w:rsid w:val="00A65B53"/>
    <w:rsid w:val="00A72A7F"/>
    <w:rsid w:val="00A72D3C"/>
    <w:rsid w:val="00A77086"/>
    <w:rsid w:val="00AA3A39"/>
    <w:rsid w:val="00AA3B98"/>
    <w:rsid w:val="00AB205C"/>
    <w:rsid w:val="00AB3FC6"/>
    <w:rsid w:val="00AC47BD"/>
    <w:rsid w:val="00AE6C93"/>
    <w:rsid w:val="00AF0B46"/>
    <w:rsid w:val="00AF33F7"/>
    <w:rsid w:val="00AF6455"/>
    <w:rsid w:val="00B031F1"/>
    <w:rsid w:val="00B06831"/>
    <w:rsid w:val="00B15BB7"/>
    <w:rsid w:val="00B3450E"/>
    <w:rsid w:val="00B35FF3"/>
    <w:rsid w:val="00B52AC4"/>
    <w:rsid w:val="00B62AF2"/>
    <w:rsid w:val="00B7143C"/>
    <w:rsid w:val="00B92E6D"/>
    <w:rsid w:val="00B945F5"/>
    <w:rsid w:val="00B96444"/>
    <w:rsid w:val="00B9720A"/>
    <w:rsid w:val="00BA4196"/>
    <w:rsid w:val="00BB2AB0"/>
    <w:rsid w:val="00BB32A4"/>
    <w:rsid w:val="00BB50A0"/>
    <w:rsid w:val="00BC4805"/>
    <w:rsid w:val="00BC5BC3"/>
    <w:rsid w:val="00BD4FFA"/>
    <w:rsid w:val="00BE121B"/>
    <w:rsid w:val="00BE2711"/>
    <w:rsid w:val="00BE777E"/>
    <w:rsid w:val="00BF1C12"/>
    <w:rsid w:val="00BF2693"/>
    <w:rsid w:val="00BF2B2C"/>
    <w:rsid w:val="00BF7858"/>
    <w:rsid w:val="00C007AA"/>
    <w:rsid w:val="00C026BB"/>
    <w:rsid w:val="00C07B1E"/>
    <w:rsid w:val="00C237F6"/>
    <w:rsid w:val="00C24D14"/>
    <w:rsid w:val="00C268F3"/>
    <w:rsid w:val="00C30423"/>
    <w:rsid w:val="00C572FE"/>
    <w:rsid w:val="00C61944"/>
    <w:rsid w:val="00C628ED"/>
    <w:rsid w:val="00C62F01"/>
    <w:rsid w:val="00C664D7"/>
    <w:rsid w:val="00C74A17"/>
    <w:rsid w:val="00C75056"/>
    <w:rsid w:val="00C75526"/>
    <w:rsid w:val="00C844CF"/>
    <w:rsid w:val="00C84EC3"/>
    <w:rsid w:val="00C8585A"/>
    <w:rsid w:val="00C91774"/>
    <w:rsid w:val="00C91E45"/>
    <w:rsid w:val="00C9264C"/>
    <w:rsid w:val="00C970D9"/>
    <w:rsid w:val="00CA1DA0"/>
    <w:rsid w:val="00CA2BEF"/>
    <w:rsid w:val="00CA6255"/>
    <w:rsid w:val="00CB3DAC"/>
    <w:rsid w:val="00CC507D"/>
    <w:rsid w:val="00CD34FD"/>
    <w:rsid w:val="00CD4BBB"/>
    <w:rsid w:val="00CD53FE"/>
    <w:rsid w:val="00CE3B86"/>
    <w:rsid w:val="00CE4718"/>
    <w:rsid w:val="00CE4751"/>
    <w:rsid w:val="00CE6BAB"/>
    <w:rsid w:val="00CF0392"/>
    <w:rsid w:val="00CF1102"/>
    <w:rsid w:val="00D21C20"/>
    <w:rsid w:val="00D33086"/>
    <w:rsid w:val="00D37A14"/>
    <w:rsid w:val="00D43F82"/>
    <w:rsid w:val="00D47005"/>
    <w:rsid w:val="00D52CBB"/>
    <w:rsid w:val="00D658B2"/>
    <w:rsid w:val="00D703A5"/>
    <w:rsid w:val="00D74006"/>
    <w:rsid w:val="00D8086B"/>
    <w:rsid w:val="00DC0206"/>
    <w:rsid w:val="00DD4624"/>
    <w:rsid w:val="00DD72DF"/>
    <w:rsid w:val="00E05460"/>
    <w:rsid w:val="00E116A7"/>
    <w:rsid w:val="00E14D3F"/>
    <w:rsid w:val="00E16CDD"/>
    <w:rsid w:val="00E26636"/>
    <w:rsid w:val="00E30BC4"/>
    <w:rsid w:val="00E35B6C"/>
    <w:rsid w:val="00E370BC"/>
    <w:rsid w:val="00E3743A"/>
    <w:rsid w:val="00E44667"/>
    <w:rsid w:val="00E46135"/>
    <w:rsid w:val="00E4690E"/>
    <w:rsid w:val="00E50D9E"/>
    <w:rsid w:val="00E551AE"/>
    <w:rsid w:val="00E6092E"/>
    <w:rsid w:val="00E635D6"/>
    <w:rsid w:val="00EB1A55"/>
    <w:rsid w:val="00EB2034"/>
    <w:rsid w:val="00EC3CB0"/>
    <w:rsid w:val="00EC6751"/>
    <w:rsid w:val="00ED2425"/>
    <w:rsid w:val="00ED2641"/>
    <w:rsid w:val="00ED70E9"/>
    <w:rsid w:val="00EE2B14"/>
    <w:rsid w:val="00EE49BC"/>
    <w:rsid w:val="00EF06BD"/>
    <w:rsid w:val="00EF6833"/>
    <w:rsid w:val="00EF7FF3"/>
    <w:rsid w:val="00F11D20"/>
    <w:rsid w:val="00F14995"/>
    <w:rsid w:val="00F200E4"/>
    <w:rsid w:val="00F205C2"/>
    <w:rsid w:val="00F21229"/>
    <w:rsid w:val="00F21545"/>
    <w:rsid w:val="00F30CE2"/>
    <w:rsid w:val="00F32C48"/>
    <w:rsid w:val="00F36F06"/>
    <w:rsid w:val="00F373CF"/>
    <w:rsid w:val="00F402DA"/>
    <w:rsid w:val="00F41325"/>
    <w:rsid w:val="00F51224"/>
    <w:rsid w:val="00F5214C"/>
    <w:rsid w:val="00F603D5"/>
    <w:rsid w:val="00F6441E"/>
    <w:rsid w:val="00F71C31"/>
    <w:rsid w:val="00F733E1"/>
    <w:rsid w:val="00F85B74"/>
    <w:rsid w:val="00F87965"/>
    <w:rsid w:val="00FA17B3"/>
    <w:rsid w:val="00FA248D"/>
    <w:rsid w:val="00FB05A9"/>
    <w:rsid w:val="00FB21E2"/>
    <w:rsid w:val="00FC438D"/>
    <w:rsid w:val="00FC43EF"/>
    <w:rsid w:val="00FD0330"/>
    <w:rsid w:val="00FD37B3"/>
    <w:rsid w:val="00FD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2621"/>
  <w15:docId w15:val="{925D9BEC-BC29-4DAC-AD82-A1C72B7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28E"/>
    <w:rPr>
      <w:sz w:val="24"/>
      <w:szCs w:val="24"/>
      <w:lang w:eastAsia="en-US"/>
    </w:rPr>
  </w:style>
  <w:style w:type="paragraph" w:styleId="Heading2">
    <w:name w:val="heading 2"/>
    <w:basedOn w:val="Normal"/>
    <w:next w:val="Normal"/>
    <w:qFormat/>
    <w:rsid w:val="00BE777E"/>
    <w:pPr>
      <w:keepNext/>
      <w:spacing w:before="240" w:after="60"/>
      <w:outlineLvl w:val="1"/>
    </w:pPr>
    <w:rPr>
      <w:rFonts w:ascii="Arial" w:hAnsi="Arial"/>
      <w:b/>
      <w:bCs/>
      <w:i/>
      <w:iCs/>
      <w:sz w:val="28"/>
      <w:szCs w:val="28"/>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1"/>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customStyle="1" w:styleId="1">
    <w:name w:val="1"/>
    <w:basedOn w:val="Normal"/>
    <w:rsid w:val="00472EB3"/>
    <w:pPr>
      <w:spacing w:after="160" w:line="240" w:lineRule="exact"/>
    </w:pPr>
    <w:rPr>
      <w:rFonts w:ascii="Tahoma" w:hAnsi="Tahoma"/>
      <w:sz w:val="20"/>
      <w:szCs w:val="20"/>
      <w:lang w:val="en-US"/>
    </w:rPr>
  </w:style>
  <w:style w:type="paragraph" w:customStyle="1" w:styleId="Default">
    <w:name w:val="Default"/>
    <w:rsid w:val="00BC48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5DA0"/>
    <w:pPr>
      <w:ind w:left="720"/>
      <w:contextualSpacing/>
    </w:pPr>
  </w:style>
  <w:style w:type="paragraph" w:styleId="Subtitle">
    <w:name w:val="Subtitle"/>
    <w:basedOn w:val="Normal"/>
    <w:next w:val="Normal"/>
    <w:link w:val="SubtitleChar"/>
    <w:uiPriority w:val="11"/>
    <w:qFormat/>
    <w:rsid w:val="00490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9FB"/>
    <w:rPr>
      <w:rFonts w:asciiTheme="minorHAnsi" w:eastAsiaTheme="minorEastAsia" w:hAnsiTheme="minorHAnsi" w:cstheme="minorBidi"/>
      <w:color w:val="5A5A5A" w:themeColor="text1" w:themeTint="A5"/>
      <w:spacing w:val="15"/>
      <w:sz w:val="22"/>
      <w:szCs w:val="22"/>
      <w:lang w:eastAsia="en-US"/>
    </w:rPr>
  </w:style>
  <w:style w:type="paragraph" w:styleId="Header">
    <w:name w:val="header"/>
    <w:basedOn w:val="Normal"/>
    <w:link w:val="HeaderChar"/>
    <w:uiPriority w:val="99"/>
    <w:unhideWhenUsed/>
    <w:rsid w:val="00EF06BD"/>
    <w:pPr>
      <w:tabs>
        <w:tab w:val="center" w:pos="4513"/>
        <w:tab w:val="right" w:pos="9026"/>
      </w:tabs>
    </w:pPr>
  </w:style>
  <w:style w:type="character" w:customStyle="1" w:styleId="HeaderChar">
    <w:name w:val="Header Char"/>
    <w:basedOn w:val="DefaultParagraphFont"/>
    <w:link w:val="Header"/>
    <w:uiPriority w:val="99"/>
    <w:rsid w:val="00EF06BD"/>
    <w:rPr>
      <w:sz w:val="24"/>
      <w:szCs w:val="24"/>
      <w:lang w:eastAsia="en-US"/>
    </w:rPr>
  </w:style>
  <w:style w:type="paragraph" w:styleId="Footer">
    <w:name w:val="footer"/>
    <w:basedOn w:val="Normal"/>
    <w:link w:val="FooterChar"/>
    <w:uiPriority w:val="99"/>
    <w:unhideWhenUsed/>
    <w:rsid w:val="00EF06BD"/>
    <w:pPr>
      <w:tabs>
        <w:tab w:val="center" w:pos="4513"/>
        <w:tab w:val="right" w:pos="9026"/>
      </w:tabs>
    </w:pPr>
  </w:style>
  <w:style w:type="character" w:customStyle="1" w:styleId="FooterChar">
    <w:name w:val="Footer Char"/>
    <w:basedOn w:val="DefaultParagraphFont"/>
    <w:link w:val="Footer"/>
    <w:uiPriority w:val="99"/>
    <w:rsid w:val="00EF06BD"/>
    <w:rPr>
      <w:sz w:val="24"/>
      <w:szCs w:val="24"/>
      <w:lang w:eastAsia="en-US"/>
    </w:rPr>
  </w:style>
  <w:style w:type="paragraph" w:customStyle="1" w:styleId="paragraph">
    <w:name w:val="paragraph"/>
    <w:basedOn w:val="Normal"/>
    <w:rsid w:val="00D703A5"/>
    <w:pPr>
      <w:spacing w:before="100" w:beforeAutospacing="1" w:after="100" w:afterAutospacing="1"/>
    </w:pPr>
    <w:rPr>
      <w:lang w:eastAsia="en-GB"/>
    </w:rPr>
  </w:style>
  <w:style w:type="character" w:customStyle="1" w:styleId="normaltextrun">
    <w:name w:val="normaltextrun"/>
    <w:basedOn w:val="DefaultParagraphFont"/>
    <w:rsid w:val="00D703A5"/>
  </w:style>
  <w:style w:type="character" w:customStyle="1" w:styleId="eop">
    <w:name w:val="eop"/>
    <w:basedOn w:val="DefaultParagraphFont"/>
    <w:rsid w:val="00D7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68">
      <w:bodyDiv w:val="1"/>
      <w:marLeft w:val="0"/>
      <w:marRight w:val="0"/>
      <w:marTop w:val="0"/>
      <w:marBottom w:val="0"/>
      <w:divBdr>
        <w:top w:val="none" w:sz="0" w:space="0" w:color="auto"/>
        <w:left w:val="none" w:sz="0" w:space="0" w:color="auto"/>
        <w:bottom w:val="none" w:sz="0" w:space="0" w:color="auto"/>
        <w:right w:val="none" w:sz="0" w:space="0" w:color="auto"/>
      </w:divBdr>
    </w:div>
    <w:div w:id="659579432">
      <w:bodyDiv w:val="1"/>
      <w:marLeft w:val="0"/>
      <w:marRight w:val="0"/>
      <w:marTop w:val="0"/>
      <w:marBottom w:val="0"/>
      <w:divBdr>
        <w:top w:val="none" w:sz="0" w:space="0" w:color="auto"/>
        <w:left w:val="none" w:sz="0" w:space="0" w:color="auto"/>
        <w:bottom w:val="none" w:sz="0" w:space="0" w:color="auto"/>
        <w:right w:val="none" w:sz="0" w:space="0" w:color="auto"/>
      </w:divBdr>
      <w:divsChild>
        <w:div w:id="1115364625">
          <w:marLeft w:val="0"/>
          <w:marRight w:val="0"/>
          <w:marTop w:val="0"/>
          <w:marBottom w:val="0"/>
          <w:divBdr>
            <w:top w:val="none" w:sz="0" w:space="0" w:color="auto"/>
            <w:left w:val="none" w:sz="0" w:space="0" w:color="auto"/>
            <w:bottom w:val="none" w:sz="0" w:space="0" w:color="auto"/>
            <w:right w:val="none" w:sz="0" w:space="0" w:color="auto"/>
          </w:divBdr>
        </w:div>
      </w:divsChild>
    </w:div>
    <w:div w:id="1670283036">
      <w:bodyDiv w:val="1"/>
      <w:marLeft w:val="0"/>
      <w:marRight w:val="0"/>
      <w:marTop w:val="0"/>
      <w:marBottom w:val="0"/>
      <w:divBdr>
        <w:top w:val="none" w:sz="0" w:space="0" w:color="auto"/>
        <w:left w:val="none" w:sz="0" w:space="0" w:color="auto"/>
        <w:bottom w:val="none" w:sz="0" w:space="0" w:color="auto"/>
        <w:right w:val="none" w:sz="0" w:space="0" w:color="auto"/>
      </w:divBdr>
    </w:div>
    <w:div w:id="1763605487">
      <w:bodyDiv w:val="1"/>
      <w:marLeft w:val="0"/>
      <w:marRight w:val="0"/>
      <w:marTop w:val="0"/>
      <w:marBottom w:val="0"/>
      <w:divBdr>
        <w:top w:val="none" w:sz="0" w:space="0" w:color="auto"/>
        <w:left w:val="none" w:sz="0" w:space="0" w:color="auto"/>
        <w:bottom w:val="none" w:sz="0" w:space="0" w:color="auto"/>
        <w:right w:val="none" w:sz="0" w:space="0" w:color="auto"/>
      </w:divBdr>
      <w:divsChild>
        <w:div w:id="940064174">
          <w:marLeft w:val="0"/>
          <w:marRight w:val="0"/>
          <w:marTop w:val="0"/>
          <w:marBottom w:val="0"/>
          <w:divBdr>
            <w:top w:val="none" w:sz="0" w:space="0" w:color="auto"/>
            <w:left w:val="none" w:sz="0" w:space="0" w:color="auto"/>
            <w:bottom w:val="none" w:sz="0" w:space="0" w:color="auto"/>
            <w:right w:val="none" w:sz="0" w:space="0" w:color="auto"/>
          </w:divBdr>
          <w:divsChild>
            <w:div w:id="5851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160">
      <w:bodyDiv w:val="1"/>
      <w:marLeft w:val="0"/>
      <w:marRight w:val="0"/>
      <w:marTop w:val="0"/>
      <w:marBottom w:val="0"/>
      <w:divBdr>
        <w:top w:val="none" w:sz="0" w:space="0" w:color="auto"/>
        <w:left w:val="none" w:sz="0" w:space="0" w:color="auto"/>
        <w:bottom w:val="none" w:sz="0" w:space="0" w:color="auto"/>
        <w:right w:val="none" w:sz="0" w:space="0" w:color="auto"/>
      </w:divBdr>
    </w:div>
    <w:div w:id="1890217390">
      <w:bodyDiv w:val="1"/>
      <w:marLeft w:val="0"/>
      <w:marRight w:val="0"/>
      <w:marTop w:val="0"/>
      <w:marBottom w:val="0"/>
      <w:divBdr>
        <w:top w:val="none" w:sz="0" w:space="0" w:color="auto"/>
        <w:left w:val="none" w:sz="0" w:space="0" w:color="auto"/>
        <w:bottom w:val="none" w:sz="0" w:space="0" w:color="auto"/>
        <w:right w:val="none" w:sz="0" w:space="0" w:color="auto"/>
      </w:divBdr>
      <w:divsChild>
        <w:div w:id="602151340">
          <w:marLeft w:val="0"/>
          <w:marRight w:val="0"/>
          <w:marTop w:val="0"/>
          <w:marBottom w:val="0"/>
          <w:divBdr>
            <w:top w:val="none" w:sz="0" w:space="0" w:color="auto"/>
            <w:left w:val="none" w:sz="0" w:space="0" w:color="auto"/>
            <w:bottom w:val="none" w:sz="0" w:space="0" w:color="auto"/>
            <w:right w:val="none" w:sz="0" w:space="0" w:color="auto"/>
          </w:divBdr>
          <w:divsChild>
            <w:div w:id="693464997">
              <w:marLeft w:val="0"/>
              <w:marRight w:val="0"/>
              <w:marTop w:val="0"/>
              <w:marBottom w:val="0"/>
              <w:divBdr>
                <w:top w:val="none" w:sz="0" w:space="0" w:color="auto"/>
                <w:left w:val="none" w:sz="0" w:space="0" w:color="auto"/>
                <w:bottom w:val="none" w:sz="0" w:space="0" w:color="auto"/>
                <w:right w:val="none" w:sz="0" w:space="0" w:color="auto"/>
              </w:divBdr>
            </w:div>
            <w:div w:id="1150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83">
      <w:bodyDiv w:val="1"/>
      <w:marLeft w:val="0"/>
      <w:marRight w:val="0"/>
      <w:marTop w:val="0"/>
      <w:marBottom w:val="0"/>
      <w:divBdr>
        <w:top w:val="none" w:sz="0" w:space="0" w:color="auto"/>
        <w:left w:val="none" w:sz="0" w:space="0" w:color="auto"/>
        <w:bottom w:val="none" w:sz="0" w:space="0" w:color="auto"/>
        <w:right w:val="none" w:sz="0" w:space="0" w:color="auto"/>
      </w:divBdr>
    </w:div>
    <w:div w:id="2049867733">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0"/>
          <w:marRight w:val="0"/>
          <w:marTop w:val="0"/>
          <w:marBottom w:val="0"/>
          <w:divBdr>
            <w:top w:val="none" w:sz="0" w:space="0" w:color="auto"/>
            <w:left w:val="none" w:sz="0" w:space="0" w:color="auto"/>
            <w:bottom w:val="none" w:sz="0" w:space="0" w:color="auto"/>
            <w:right w:val="none" w:sz="0" w:space="0" w:color="auto"/>
          </w:divBdr>
          <w:divsChild>
            <w:div w:id="2134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 w:id="20648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7" ma:contentTypeDescription="Create a new document." ma:contentTypeScope="" ma:versionID="c8a9507b5b081ef758300ad2f541df29">
  <xsd:schema xmlns:xsd="http://www.w3.org/2001/XMLSchema" xmlns:xs="http://www.w3.org/2001/XMLSchema" xmlns:p="http://schemas.microsoft.com/office/2006/metadata/properties" xmlns:ns3="88868016-727e-43ed-b45d-cce2709f9c06" targetNamespace="http://schemas.microsoft.com/office/2006/metadata/properties" ma:root="true" ma:fieldsID="71cdf7a66b67d1d5a734c7a1a2faf376" ns3:_="">
    <xsd:import namespace="88868016-727e-43ed-b45d-cce2709f9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9BDD2-D137-4BEE-B552-218F74AE7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6A49-629F-44B9-8CB9-9C82A578BE7A}">
  <ds:schemaRefs>
    <ds:schemaRef ds:uri="http://schemas.microsoft.com/sharepoint/v3/contenttype/forms"/>
  </ds:schemaRefs>
</ds:datastoreItem>
</file>

<file path=customXml/itemProps3.xml><?xml version="1.0" encoding="utf-8"?>
<ds:datastoreItem xmlns:ds="http://schemas.openxmlformats.org/officeDocument/2006/customXml" ds:itemID="{83DD0D82-6A75-41E6-A6FD-17EE34B6B65D}">
  <ds:schemaRefs>
    <ds:schemaRef ds:uri="http://purl.org/dc/elements/1.1/"/>
    <ds:schemaRef ds:uri="http://schemas.microsoft.com/office/2006/documentManagement/types"/>
    <ds:schemaRef ds:uri="88868016-727e-43ed-b45d-cce2709f9c06"/>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asanghera@rac.co.uk</dc:creator>
  <cp:keywords/>
  <dc:description/>
  <cp:lastModifiedBy>Harj Kaur</cp:lastModifiedBy>
  <cp:revision>2</cp:revision>
  <cp:lastPrinted>2018-10-01T09:18:00Z</cp:lastPrinted>
  <dcterms:created xsi:type="dcterms:W3CDTF">2019-10-09T11:52:00Z</dcterms:created>
  <dcterms:modified xsi:type="dcterms:W3CDTF">2019-10-09T11:52:00Z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Harj.Kaur@lgpscentral.co.uk</vt:lpwstr>
  </property>
  <property fmtid="{D5CDD505-2E9C-101B-9397-08002B2CF9AE}" pid="5" name="MSIP_Label_a731d191-7088-4eb1-ab06-b12dc07093e5_SetDate">
    <vt:lpwstr>2018-07-30T10:01:57.1492935Z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0x0101001E76C10750EF1445ADB2DDF7B781BA2D</vt:lpwstr>
  </property>
</Properties>
</file>